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87" w:rsidRDefault="005979D0">
      <w:pPr>
        <w:spacing w:before="64"/>
        <w:ind w:left="2935" w:right="2871"/>
        <w:jc w:val="center"/>
        <w:rPr>
          <w:b/>
          <w:sz w:val="28"/>
        </w:rPr>
      </w:pPr>
      <w:r>
        <w:rPr>
          <w:b/>
          <w:sz w:val="28"/>
        </w:rPr>
        <w:t>SUPPLEMENTARY APPENDIX</w:t>
      </w:r>
    </w:p>
    <w:p w:rsidR="007F7987" w:rsidRDefault="007F7987">
      <w:pPr>
        <w:pStyle w:val="Corpodeltesto"/>
        <w:spacing w:before="4"/>
        <w:ind w:left="0" w:firstLine="0"/>
        <w:jc w:val="left"/>
        <w:rPr>
          <w:b/>
        </w:rPr>
      </w:pPr>
    </w:p>
    <w:p w:rsidR="007F7987" w:rsidRDefault="005979D0">
      <w:pPr>
        <w:pStyle w:val="Heading1"/>
        <w:numPr>
          <w:ilvl w:val="0"/>
          <w:numId w:val="2"/>
        </w:numPr>
        <w:tabs>
          <w:tab w:val="left" w:pos="819"/>
          <w:tab w:val="left" w:pos="820"/>
        </w:tabs>
        <w:ind w:left="819"/>
      </w:pPr>
      <w:r>
        <w:t>Supplementary</w:t>
      </w:r>
      <w:r>
        <w:rPr>
          <w:spacing w:val="-5"/>
        </w:rPr>
        <w:t xml:space="preserve"> </w:t>
      </w:r>
      <w:r>
        <w:t>Data</w:t>
      </w:r>
    </w:p>
    <w:p w:rsidR="007F7987" w:rsidRDefault="005979D0">
      <w:pPr>
        <w:pStyle w:val="Paragrafoelenco"/>
        <w:numPr>
          <w:ilvl w:val="0"/>
          <w:numId w:val="2"/>
        </w:numPr>
        <w:tabs>
          <w:tab w:val="left" w:pos="819"/>
          <w:tab w:val="left" w:pos="820"/>
        </w:tabs>
        <w:spacing w:before="138"/>
        <w:ind w:left="819"/>
        <w:jc w:val="left"/>
        <w:rPr>
          <w:b/>
          <w:sz w:val="24"/>
        </w:rPr>
      </w:pPr>
      <w:r>
        <w:rPr>
          <w:b/>
          <w:sz w:val="24"/>
        </w:rPr>
        <w:t>Supplementary</w:t>
      </w:r>
      <w:r>
        <w:rPr>
          <w:b/>
          <w:spacing w:val="-15"/>
          <w:sz w:val="24"/>
        </w:rPr>
        <w:t xml:space="preserve"> </w:t>
      </w:r>
      <w:r>
        <w:rPr>
          <w:b/>
          <w:sz w:val="24"/>
        </w:rPr>
        <w:t>Discussion</w:t>
      </w:r>
    </w:p>
    <w:p w:rsidR="007F7987" w:rsidRDefault="005979D0">
      <w:pPr>
        <w:pStyle w:val="Paragrafoelenco"/>
        <w:numPr>
          <w:ilvl w:val="0"/>
          <w:numId w:val="2"/>
        </w:numPr>
        <w:tabs>
          <w:tab w:val="left" w:pos="819"/>
          <w:tab w:val="left" w:pos="820"/>
        </w:tabs>
        <w:spacing w:before="133"/>
        <w:ind w:left="819"/>
        <w:jc w:val="left"/>
        <w:rPr>
          <w:b/>
          <w:sz w:val="24"/>
        </w:rPr>
      </w:pPr>
      <w:r>
        <w:rPr>
          <w:b/>
          <w:sz w:val="24"/>
        </w:rPr>
        <w:t>Supplementary</w:t>
      </w:r>
      <w:r>
        <w:rPr>
          <w:b/>
          <w:spacing w:val="-20"/>
          <w:sz w:val="24"/>
        </w:rPr>
        <w:t xml:space="preserve"> </w:t>
      </w:r>
      <w:r>
        <w:rPr>
          <w:b/>
          <w:sz w:val="24"/>
        </w:rPr>
        <w:t>References</w:t>
      </w:r>
    </w:p>
    <w:p w:rsidR="007F7987" w:rsidRDefault="005979D0">
      <w:pPr>
        <w:pStyle w:val="Paragrafoelenco"/>
        <w:numPr>
          <w:ilvl w:val="0"/>
          <w:numId w:val="2"/>
        </w:numPr>
        <w:tabs>
          <w:tab w:val="left" w:pos="819"/>
          <w:tab w:val="left" w:pos="820"/>
        </w:tabs>
        <w:spacing w:before="139"/>
        <w:ind w:left="819"/>
        <w:jc w:val="left"/>
        <w:rPr>
          <w:b/>
          <w:sz w:val="24"/>
        </w:rPr>
      </w:pPr>
      <w:r>
        <w:rPr>
          <w:b/>
          <w:sz w:val="24"/>
        </w:rPr>
        <w:t>Supplementary Tables 1-3 (separate</w:t>
      </w:r>
      <w:r>
        <w:rPr>
          <w:b/>
          <w:spacing w:val="-13"/>
          <w:sz w:val="24"/>
        </w:rPr>
        <w:t xml:space="preserve"> </w:t>
      </w:r>
      <w:r>
        <w:rPr>
          <w:b/>
          <w:sz w:val="24"/>
        </w:rPr>
        <w:t>file)</w:t>
      </w:r>
    </w:p>
    <w:p w:rsidR="007F7987" w:rsidRDefault="005979D0">
      <w:pPr>
        <w:pStyle w:val="Paragrafoelenco"/>
        <w:numPr>
          <w:ilvl w:val="0"/>
          <w:numId w:val="2"/>
        </w:numPr>
        <w:tabs>
          <w:tab w:val="left" w:pos="819"/>
          <w:tab w:val="left" w:pos="820"/>
        </w:tabs>
        <w:spacing w:before="138"/>
        <w:ind w:left="819"/>
        <w:jc w:val="left"/>
        <w:rPr>
          <w:b/>
          <w:sz w:val="24"/>
        </w:rPr>
      </w:pPr>
      <w:r>
        <w:rPr>
          <w:b/>
          <w:sz w:val="24"/>
        </w:rPr>
        <w:t xml:space="preserve">Supplementary Figures 2 (separate file) </w:t>
      </w:r>
      <w:r>
        <w:rPr>
          <w:b/>
          <w:spacing w:val="-3"/>
          <w:sz w:val="24"/>
        </w:rPr>
        <w:t>and</w:t>
      </w:r>
      <w:r>
        <w:rPr>
          <w:b/>
          <w:spacing w:val="-4"/>
          <w:sz w:val="24"/>
        </w:rPr>
        <w:t xml:space="preserve"> </w:t>
      </w:r>
      <w:r>
        <w:rPr>
          <w:b/>
          <w:sz w:val="24"/>
        </w:rPr>
        <w:t>legend</w:t>
      </w:r>
    </w:p>
    <w:p w:rsidR="007F7987" w:rsidRDefault="007F7987">
      <w:pPr>
        <w:pStyle w:val="Corpodeltesto"/>
        <w:ind w:left="0" w:firstLine="0"/>
        <w:jc w:val="left"/>
        <w:rPr>
          <w:b/>
          <w:sz w:val="28"/>
        </w:rPr>
      </w:pPr>
    </w:p>
    <w:p w:rsidR="007F7987" w:rsidRDefault="007F7987">
      <w:pPr>
        <w:pStyle w:val="Corpodeltesto"/>
        <w:ind w:left="0" w:firstLine="0"/>
        <w:jc w:val="left"/>
        <w:rPr>
          <w:b/>
          <w:sz w:val="28"/>
        </w:rPr>
      </w:pPr>
    </w:p>
    <w:p w:rsidR="007F7987" w:rsidRDefault="007F7987">
      <w:pPr>
        <w:pStyle w:val="Corpodeltesto"/>
        <w:ind w:left="0" w:firstLine="0"/>
        <w:jc w:val="left"/>
        <w:rPr>
          <w:b/>
          <w:sz w:val="28"/>
        </w:rPr>
      </w:pPr>
    </w:p>
    <w:p w:rsidR="007F7987" w:rsidRDefault="007F7987">
      <w:pPr>
        <w:pStyle w:val="Corpodeltesto"/>
        <w:spacing w:before="9"/>
        <w:ind w:left="0" w:firstLine="0"/>
        <w:jc w:val="left"/>
        <w:rPr>
          <w:b/>
          <w:sz w:val="23"/>
        </w:rPr>
      </w:pPr>
    </w:p>
    <w:p w:rsidR="007F7987" w:rsidRDefault="005979D0">
      <w:pPr>
        <w:ind w:left="113"/>
        <w:jc w:val="both"/>
        <w:rPr>
          <w:b/>
          <w:sz w:val="24"/>
        </w:rPr>
      </w:pPr>
      <w:r>
        <w:rPr>
          <w:b/>
          <w:sz w:val="24"/>
        </w:rPr>
        <w:t>SUPPLEMENTARY DATA</w:t>
      </w:r>
    </w:p>
    <w:p w:rsidR="007F7987" w:rsidRDefault="007F7987">
      <w:pPr>
        <w:pStyle w:val="Corpodeltesto"/>
        <w:ind w:left="0" w:firstLine="0"/>
        <w:jc w:val="left"/>
        <w:rPr>
          <w:b/>
          <w:sz w:val="26"/>
        </w:rPr>
      </w:pPr>
    </w:p>
    <w:p w:rsidR="007F7987" w:rsidRDefault="007F7987">
      <w:pPr>
        <w:pStyle w:val="Corpodeltesto"/>
        <w:spacing w:before="9"/>
        <w:ind w:left="0" w:firstLine="0"/>
        <w:jc w:val="left"/>
        <w:rPr>
          <w:b/>
          <w:sz w:val="21"/>
        </w:rPr>
      </w:pPr>
    </w:p>
    <w:p w:rsidR="007F7987" w:rsidRDefault="005979D0">
      <w:pPr>
        <w:ind w:left="113"/>
        <w:jc w:val="both"/>
        <w:rPr>
          <w:b/>
          <w:sz w:val="24"/>
        </w:rPr>
      </w:pPr>
      <w:r>
        <w:rPr>
          <w:b/>
          <w:sz w:val="24"/>
        </w:rPr>
        <w:t>Detailed clinical history of Case 1 developing cHL and AML</w:t>
      </w:r>
    </w:p>
    <w:p w:rsidR="007F7987" w:rsidRDefault="005979D0">
      <w:pPr>
        <w:pStyle w:val="Paragrafoelenco"/>
        <w:numPr>
          <w:ilvl w:val="0"/>
          <w:numId w:val="2"/>
        </w:numPr>
        <w:tabs>
          <w:tab w:val="left" w:pos="820"/>
        </w:tabs>
        <w:spacing w:before="150" w:line="345" w:lineRule="auto"/>
        <w:ind w:right="124" w:hanging="361"/>
        <w:rPr>
          <w:sz w:val="24"/>
        </w:rPr>
      </w:pPr>
      <w:r>
        <w:rPr>
          <w:sz w:val="24"/>
          <w:u w:val="single"/>
        </w:rPr>
        <w:t>May 2013</w:t>
      </w:r>
      <w:r>
        <w:rPr>
          <w:sz w:val="24"/>
        </w:rPr>
        <w:t>: diagnosis of nodular sclerosis classic Hodgkin Lymphoma, stage IVB, EBV-negative.</w:t>
      </w:r>
    </w:p>
    <w:p w:rsidR="007F7987" w:rsidRDefault="005979D0">
      <w:pPr>
        <w:pStyle w:val="Paragrafoelenco"/>
        <w:numPr>
          <w:ilvl w:val="0"/>
          <w:numId w:val="2"/>
        </w:numPr>
        <w:tabs>
          <w:tab w:val="left" w:pos="820"/>
        </w:tabs>
        <w:spacing w:before="24" w:line="357" w:lineRule="auto"/>
        <w:ind w:right="102" w:hanging="361"/>
        <w:rPr>
          <w:sz w:val="24"/>
        </w:rPr>
      </w:pPr>
      <w:r>
        <w:rPr>
          <w:sz w:val="24"/>
          <w:u w:val="single"/>
        </w:rPr>
        <w:t>May 2013 – May 2014</w:t>
      </w:r>
      <w:r>
        <w:rPr>
          <w:sz w:val="24"/>
        </w:rPr>
        <w:t>: As first-line therapy for cHL, the patient received 5 cycles of ABVD regimen (</w:t>
      </w:r>
      <w:r>
        <w:rPr>
          <w:color w:val="2A2A2A"/>
          <w:sz w:val="24"/>
        </w:rPr>
        <w:t xml:space="preserve">doxorubicin: 25 mg/m2, days 1, 15; bleomycin: 10 mg/m2, days 1, 15; vinblastine: 6 mg/m2, days 1, 15; dacarbazine: 375 mg/m2, days 1, </w:t>
      </w:r>
      <w:r>
        <w:rPr>
          <w:color w:val="2A2A2A"/>
          <w:spacing w:val="2"/>
          <w:sz w:val="24"/>
        </w:rPr>
        <w:t>15</w:t>
      </w:r>
      <w:r>
        <w:rPr>
          <w:spacing w:val="2"/>
          <w:sz w:val="24"/>
        </w:rPr>
        <w:t>)</w:t>
      </w:r>
      <w:r>
        <w:rPr>
          <w:spacing w:val="2"/>
          <w:position w:val="8"/>
          <w:sz w:val="16"/>
        </w:rPr>
        <w:t>1</w:t>
      </w:r>
      <w:r>
        <w:rPr>
          <w:spacing w:val="2"/>
          <w:sz w:val="24"/>
        </w:rPr>
        <w:t xml:space="preserve">. </w:t>
      </w:r>
      <w:r>
        <w:rPr>
          <w:sz w:val="24"/>
        </w:rPr>
        <w:t>PET- CT carried out after two cycles documented partial remission; the fifth cycle was only partially administered due to stable disease revealed by PET-CT performed at the end of the fourth cycle. The patient then received 3 cycles of IGEV salvage regimen</w:t>
      </w:r>
      <w:r>
        <w:rPr>
          <w:position w:val="8"/>
          <w:sz w:val="16"/>
        </w:rPr>
        <w:t xml:space="preserve">2 </w:t>
      </w:r>
      <w:r>
        <w:rPr>
          <w:sz w:val="24"/>
        </w:rPr>
        <w:t xml:space="preserve">(ifosfamide 2000 </w:t>
      </w:r>
      <w:r>
        <w:rPr>
          <w:spacing w:val="-3"/>
          <w:sz w:val="24"/>
        </w:rPr>
        <w:t xml:space="preserve">mg/m2 </w:t>
      </w:r>
      <w:r>
        <w:rPr>
          <w:sz w:val="24"/>
        </w:rPr>
        <w:t xml:space="preserve">on days 1 </w:t>
      </w:r>
      <w:r>
        <w:rPr>
          <w:spacing w:val="-3"/>
          <w:sz w:val="24"/>
        </w:rPr>
        <w:t xml:space="preserve">to </w:t>
      </w:r>
      <w:r>
        <w:rPr>
          <w:sz w:val="24"/>
        </w:rPr>
        <w:t xml:space="preserve">4; gemcitabine 800 </w:t>
      </w:r>
      <w:r>
        <w:rPr>
          <w:spacing w:val="-3"/>
          <w:sz w:val="24"/>
        </w:rPr>
        <w:t xml:space="preserve">mg/m2 </w:t>
      </w:r>
      <w:r>
        <w:rPr>
          <w:sz w:val="24"/>
        </w:rPr>
        <w:t xml:space="preserve">on days  1 and 4; vinorelbine 20 </w:t>
      </w:r>
      <w:r>
        <w:rPr>
          <w:spacing w:val="-3"/>
          <w:sz w:val="24"/>
        </w:rPr>
        <w:t xml:space="preserve">mg/m2 </w:t>
      </w:r>
      <w:r>
        <w:rPr>
          <w:sz w:val="24"/>
        </w:rPr>
        <w:t xml:space="preserve">on day 1; prednisolone 100 </w:t>
      </w:r>
      <w:r>
        <w:rPr>
          <w:spacing w:val="-4"/>
          <w:sz w:val="24"/>
        </w:rPr>
        <w:t xml:space="preserve">mg </w:t>
      </w:r>
      <w:r>
        <w:rPr>
          <w:sz w:val="24"/>
        </w:rPr>
        <w:t>on days 1 to 4), followed by collection of 10.9x10</w:t>
      </w:r>
      <w:r>
        <w:rPr>
          <w:position w:val="8"/>
          <w:sz w:val="16"/>
        </w:rPr>
        <w:t>6</w:t>
      </w:r>
      <w:r>
        <w:rPr>
          <w:sz w:val="24"/>
        </w:rPr>
        <w:t>/Kg CD34+ peripheral blood hematopoietic stem and progenitor cells (HSPCs) mobilized with G-CSF. The patient underwent autologous hematopoietic stem cell transplantation (ASCT) of 5.45x10</w:t>
      </w:r>
      <w:r>
        <w:rPr>
          <w:position w:val="8"/>
          <w:sz w:val="16"/>
        </w:rPr>
        <w:t>6</w:t>
      </w:r>
      <w:r>
        <w:rPr>
          <w:sz w:val="24"/>
        </w:rPr>
        <w:t xml:space="preserve">/Kg CD34+ HSPCs following the FEAM conditioning regimen (fotemustine 150 </w:t>
      </w:r>
      <w:r>
        <w:rPr>
          <w:spacing w:val="-3"/>
          <w:sz w:val="24"/>
        </w:rPr>
        <w:t xml:space="preserve">mg/m2 </w:t>
      </w:r>
      <w:r>
        <w:rPr>
          <w:sz w:val="24"/>
        </w:rPr>
        <w:t xml:space="preserve">on days - 7, -6, etoposide 200 </w:t>
      </w:r>
      <w:r>
        <w:rPr>
          <w:spacing w:val="-3"/>
          <w:sz w:val="24"/>
        </w:rPr>
        <w:t xml:space="preserve">mg/m2 </w:t>
      </w:r>
      <w:r>
        <w:rPr>
          <w:sz w:val="24"/>
        </w:rPr>
        <w:t xml:space="preserve">and cytarabine 400 </w:t>
      </w:r>
      <w:r>
        <w:rPr>
          <w:spacing w:val="-3"/>
          <w:sz w:val="24"/>
        </w:rPr>
        <w:t xml:space="preserve">mg/m2 </w:t>
      </w:r>
      <w:r>
        <w:rPr>
          <w:sz w:val="24"/>
        </w:rPr>
        <w:t xml:space="preserve">on days -5, - 4, -3, -2; melphalan 140 </w:t>
      </w:r>
      <w:r>
        <w:rPr>
          <w:spacing w:val="-3"/>
          <w:sz w:val="24"/>
        </w:rPr>
        <w:t xml:space="preserve">mg/m2 </w:t>
      </w:r>
      <w:r>
        <w:rPr>
          <w:sz w:val="24"/>
        </w:rPr>
        <w:t>on day -1)</w:t>
      </w:r>
      <w:r>
        <w:rPr>
          <w:position w:val="8"/>
          <w:sz w:val="16"/>
        </w:rPr>
        <w:t>3</w:t>
      </w:r>
      <w:r>
        <w:rPr>
          <w:sz w:val="24"/>
        </w:rPr>
        <w:t>. G-CSF was administered at day +6 post- infusion and engraftment occurred at day +8 post-infusion. Toxicity included: grade 2 mucositis and an infectious episode at day +4. Mediastinal mass radiotherapy (total dose of 40 Gy) was performed after ASCT as consolidation. The patient achieved a complete remission of cHL by PET-CT, which was durable in the subsequent</w:t>
      </w:r>
      <w:r>
        <w:rPr>
          <w:spacing w:val="-6"/>
          <w:sz w:val="24"/>
        </w:rPr>
        <w:t xml:space="preserve"> </w:t>
      </w:r>
      <w:r>
        <w:rPr>
          <w:sz w:val="24"/>
        </w:rPr>
        <w:t>follow-up.</w:t>
      </w:r>
    </w:p>
    <w:p w:rsidR="007F7987" w:rsidRDefault="005979D0">
      <w:pPr>
        <w:pStyle w:val="Paragrafoelenco"/>
        <w:numPr>
          <w:ilvl w:val="0"/>
          <w:numId w:val="2"/>
        </w:numPr>
        <w:tabs>
          <w:tab w:val="left" w:pos="820"/>
        </w:tabs>
        <w:spacing w:before="19"/>
        <w:ind w:left="819"/>
        <w:rPr>
          <w:sz w:val="24"/>
        </w:rPr>
      </w:pPr>
      <w:r>
        <w:rPr>
          <w:sz w:val="24"/>
          <w:u w:val="single"/>
        </w:rPr>
        <w:t>February 2019</w:t>
      </w:r>
      <w:r>
        <w:rPr>
          <w:sz w:val="24"/>
        </w:rPr>
        <w:t xml:space="preserve">: diagnosis of </w:t>
      </w:r>
      <w:r>
        <w:rPr>
          <w:spacing w:val="-2"/>
          <w:sz w:val="24"/>
        </w:rPr>
        <w:t xml:space="preserve">AML </w:t>
      </w:r>
      <w:r>
        <w:rPr>
          <w:sz w:val="24"/>
        </w:rPr>
        <w:t xml:space="preserve">with </w:t>
      </w:r>
      <w:r>
        <w:rPr>
          <w:spacing w:val="-3"/>
          <w:sz w:val="24"/>
        </w:rPr>
        <w:t xml:space="preserve">normal </w:t>
      </w:r>
      <w:r>
        <w:rPr>
          <w:sz w:val="24"/>
        </w:rPr>
        <w:t xml:space="preserve">karyotype carrying </w:t>
      </w:r>
      <w:r>
        <w:rPr>
          <w:i/>
          <w:sz w:val="24"/>
        </w:rPr>
        <w:t>NPM1</w:t>
      </w:r>
      <w:r>
        <w:rPr>
          <w:position w:val="8"/>
          <w:sz w:val="16"/>
        </w:rPr>
        <w:t>mut</w:t>
      </w:r>
      <w:r>
        <w:rPr>
          <w:spacing w:val="31"/>
          <w:position w:val="8"/>
          <w:sz w:val="16"/>
        </w:rPr>
        <w:t xml:space="preserve"> </w:t>
      </w:r>
      <w:r>
        <w:rPr>
          <w:sz w:val="24"/>
        </w:rPr>
        <w:t>and</w:t>
      </w:r>
    </w:p>
    <w:p w:rsidR="007F7987" w:rsidRDefault="005979D0">
      <w:pPr>
        <w:pStyle w:val="Corpodeltesto"/>
        <w:spacing w:before="125"/>
        <w:ind w:firstLine="0"/>
      </w:pPr>
      <w:r>
        <w:rPr>
          <w:i/>
        </w:rPr>
        <w:t>FLT3</w:t>
      </w:r>
      <w:r>
        <w:rPr>
          <w:position w:val="8"/>
          <w:sz w:val="16"/>
        </w:rPr>
        <w:t xml:space="preserve">ITD </w:t>
      </w:r>
      <w:r>
        <w:t>mutations, including a leukemia cutis presentation.</w:t>
      </w:r>
    </w:p>
    <w:p w:rsidR="007F7987" w:rsidRDefault="007F7987">
      <w:pPr>
        <w:sectPr w:rsidR="007F7987">
          <w:footerReference w:type="default" r:id="rId7"/>
          <w:type w:val="continuous"/>
          <w:pgSz w:w="11900" w:h="16840"/>
          <w:pgMar w:top="620" w:right="1020" w:bottom="1220" w:left="1020" w:header="720" w:footer="1036" w:gutter="0"/>
          <w:pgNumType w:start="1"/>
          <w:cols w:space="720"/>
        </w:sectPr>
      </w:pPr>
    </w:p>
    <w:p w:rsidR="007F7987" w:rsidRDefault="005979D0">
      <w:pPr>
        <w:pStyle w:val="Corpodeltesto"/>
        <w:spacing w:before="68" w:line="360" w:lineRule="auto"/>
        <w:ind w:right="108" w:firstLine="0"/>
      </w:pPr>
      <w:r>
        <w:rPr>
          <w:u w:val="single"/>
        </w:rPr>
        <w:lastRenderedPageBreak/>
        <w:t>February – July 2019</w:t>
      </w:r>
      <w:r>
        <w:t>: AML induction therapy with “7+3” regimen (cytarabine 100 mg/m2 on days 1 to 7; daunorubicin 60 mg/m2 days 1, 2, 3). A complete remission was achieved. A consolidation course with high-dose cytarabine (cytarabine 1.5 g/m2 days 1, 3 and 5) plus midostaurin (50 mg orally twice daily, on days 8 through 21)</w:t>
      </w:r>
      <w:r>
        <w:rPr>
          <w:position w:val="8"/>
          <w:sz w:val="16"/>
        </w:rPr>
        <w:t xml:space="preserve">4 </w:t>
      </w:r>
      <w:r>
        <w:t>was then administered. Leukemia cutis relapsed about one month later and, despite subsequent treatment with etoposide (100 mg/m2, from days 1 to 7) and high-dose cytarabine (3 g/m2, days 1,3, 5, 7), leukemic progression occurred followed by death shortly after.</w:t>
      </w:r>
    </w:p>
    <w:p w:rsidR="007F7987" w:rsidRDefault="007F7987">
      <w:pPr>
        <w:pStyle w:val="Corpodeltesto"/>
        <w:spacing w:before="2"/>
        <w:ind w:left="0" w:firstLine="0"/>
        <w:jc w:val="left"/>
        <w:rPr>
          <w:sz w:val="37"/>
        </w:rPr>
      </w:pPr>
    </w:p>
    <w:p w:rsidR="007F7987" w:rsidRDefault="005979D0">
      <w:pPr>
        <w:pStyle w:val="Heading1"/>
        <w:spacing w:before="1"/>
      </w:pPr>
      <w:r>
        <w:t>SUPPLEMENTARY DISCUSSION</w:t>
      </w:r>
    </w:p>
    <w:p w:rsidR="007F7987" w:rsidRDefault="007F7987">
      <w:pPr>
        <w:pStyle w:val="Corpodeltesto"/>
        <w:ind w:left="0" w:firstLine="0"/>
        <w:jc w:val="left"/>
        <w:rPr>
          <w:b/>
          <w:sz w:val="26"/>
        </w:rPr>
      </w:pPr>
    </w:p>
    <w:p w:rsidR="007F7987" w:rsidRDefault="007F7987">
      <w:pPr>
        <w:pStyle w:val="Corpodeltesto"/>
        <w:spacing w:before="2"/>
        <w:ind w:left="0" w:firstLine="0"/>
        <w:jc w:val="left"/>
        <w:rPr>
          <w:b/>
          <w:sz w:val="22"/>
        </w:rPr>
      </w:pPr>
    </w:p>
    <w:p w:rsidR="007F7987" w:rsidRDefault="005979D0" w:rsidP="00E075E7">
      <w:pPr>
        <w:pStyle w:val="Corpodeltesto"/>
        <w:tabs>
          <w:tab w:val="left" w:pos="1121"/>
          <w:tab w:val="left" w:pos="1552"/>
          <w:tab w:val="left" w:pos="2497"/>
          <w:tab w:val="left" w:pos="3499"/>
          <w:tab w:val="left" w:pos="5043"/>
          <w:tab w:val="left" w:pos="6639"/>
          <w:tab w:val="left" w:pos="8089"/>
          <w:tab w:val="left" w:pos="8534"/>
        </w:tabs>
        <w:spacing w:line="357" w:lineRule="auto"/>
        <w:ind w:left="113" w:right="106" w:firstLine="0"/>
      </w:pPr>
      <w:r>
        <w:rPr>
          <w:b/>
        </w:rPr>
        <w:t xml:space="preserve">First description of a human B-cell lymphoma harboring a </w:t>
      </w:r>
      <w:r>
        <w:rPr>
          <w:b/>
          <w:i/>
        </w:rPr>
        <w:t>DNMT3</w:t>
      </w:r>
      <w:r>
        <w:rPr>
          <w:b/>
        </w:rPr>
        <w:t xml:space="preserve">A-R882 mutation </w:t>
      </w:r>
      <w:r>
        <w:t xml:space="preserve">cHL </w:t>
      </w:r>
      <w:r>
        <w:rPr>
          <w:color w:val="0E0E0E"/>
        </w:rPr>
        <w:t xml:space="preserve">Case 1 </w:t>
      </w:r>
      <w:r>
        <w:t xml:space="preserve">represents, to the best of our knowledge, the first description of a </w:t>
      </w:r>
      <w:r>
        <w:rPr>
          <w:i/>
        </w:rPr>
        <w:t>DNMT3A</w:t>
      </w:r>
      <w:r>
        <w:rPr>
          <w:position w:val="8"/>
          <w:sz w:val="16"/>
        </w:rPr>
        <w:t xml:space="preserve">R882 </w:t>
      </w:r>
      <w:r>
        <w:t xml:space="preserve">hotspot mutation in tumor cells of a human B-cell lymphoma. In individuals with CHIP and in patients with AML, </w:t>
      </w:r>
      <w:r>
        <w:rPr>
          <w:i/>
        </w:rPr>
        <w:t xml:space="preserve">DNMT3A </w:t>
      </w:r>
      <w:r>
        <w:t xml:space="preserve">mutations at codon 882, which are the most prevalent </w:t>
      </w:r>
      <w:r>
        <w:rPr>
          <w:i/>
        </w:rPr>
        <w:t xml:space="preserve">DNMT3A </w:t>
      </w:r>
      <w:r>
        <w:t>mutations and likely result in loss-of-function</w:t>
      </w:r>
      <w:r>
        <w:rPr>
          <w:position w:val="8"/>
          <w:sz w:val="16"/>
        </w:rPr>
        <w:t>5-6</w:t>
      </w:r>
      <w:r>
        <w:t>, have been found in all blood cell lineages, including B cells, and are thus considered to occur in multipotent stem cells</w:t>
      </w:r>
      <w:r>
        <w:rPr>
          <w:position w:val="8"/>
          <w:sz w:val="16"/>
        </w:rPr>
        <w:t>5-9</w:t>
      </w:r>
      <w:r>
        <w:t>.</w:t>
      </w:r>
      <w:r>
        <w:tab/>
        <w:t>In</w:t>
      </w:r>
      <w:r>
        <w:tab/>
        <w:t>mouse</w:t>
      </w:r>
      <w:r>
        <w:tab/>
        <w:t>models</w:t>
      </w:r>
      <w:r>
        <w:tab/>
        <w:t>conditionally</w:t>
      </w:r>
      <w:r>
        <w:tab/>
        <w:t>knocking-out</w:t>
      </w:r>
      <w:r>
        <w:tab/>
      </w:r>
      <w:r>
        <w:rPr>
          <w:i/>
        </w:rPr>
        <w:t>Dnmt3a</w:t>
      </w:r>
      <w:r>
        <w:rPr>
          <w:position w:val="8"/>
          <w:sz w:val="16"/>
        </w:rPr>
        <w:t>10-14</w:t>
      </w:r>
      <w:r>
        <w:rPr>
          <w:position w:val="8"/>
          <w:sz w:val="16"/>
        </w:rPr>
        <w:tab/>
      </w:r>
      <w:r>
        <w:t>or</w:t>
      </w:r>
      <w:r>
        <w:tab/>
      </w:r>
      <w:r>
        <w:rPr>
          <w:spacing w:val="-3"/>
        </w:rPr>
        <w:t xml:space="preserve">knocking-in </w:t>
      </w:r>
      <w:r>
        <w:rPr>
          <w:i/>
        </w:rPr>
        <w:t>Dnmt3a</w:t>
      </w:r>
      <w:r>
        <w:rPr>
          <w:position w:val="8"/>
          <w:sz w:val="16"/>
        </w:rPr>
        <w:t xml:space="preserve">R878H </w:t>
      </w:r>
      <w:r>
        <w:t xml:space="preserve">(the murine homologue to </w:t>
      </w:r>
      <w:r>
        <w:rPr>
          <w:spacing w:val="-3"/>
        </w:rPr>
        <w:t xml:space="preserve">human </w:t>
      </w:r>
      <w:r>
        <w:rPr>
          <w:i/>
        </w:rPr>
        <w:t>DNMT3A</w:t>
      </w:r>
      <w:r>
        <w:rPr>
          <w:position w:val="8"/>
          <w:sz w:val="16"/>
        </w:rPr>
        <w:t>R882H</w:t>
      </w:r>
      <w:r>
        <w:t>)</w:t>
      </w:r>
      <w:r>
        <w:rPr>
          <w:position w:val="8"/>
          <w:sz w:val="16"/>
        </w:rPr>
        <w:t xml:space="preserve">15,16 </w:t>
      </w:r>
      <w:r>
        <w:t>in hematopoietic stem/progenitor cells, some biased differentiation potential through the B-cell lineage</w:t>
      </w:r>
      <w:r>
        <w:rPr>
          <w:position w:val="8"/>
          <w:sz w:val="16"/>
        </w:rPr>
        <w:t xml:space="preserve">10 </w:t>
      </w:r>
      <w:r>
        <w:t>and the development of mature B-cell tumors</w:t>
      </w:r>
      <w:r>
        <w:rPr>
          <w:position w:val="8"/>
          <w:sz w:val="16"/>
        </w:rPr>
        <w:t xml:space="preserve">13,14 </w:t>
      </w:r>
      <w:r>
        <w:t xml:space="preserve">have been reported. However, in humans, mutations of </w:t>
      </w:r>
      <w:r>
        <w:rPr>
          <w:i/>
        </w:rPr>
        <w:t xml:space="preserve">DNMT3A </w:t>
      </w:r>
      <w:r>
        <w:t>were very rarely reported in tumor cells of B-cell neoplasms, for example at frequencies &lt;1%</w:t>
      </w:r>
      <w:r>
        <w:rPr>
          <w:position w:val="8"/>
          <w:sz w:val="16"/>
        </w:rPr>
        <w:t xml:space="preserve">17 </w:t>
      </w:r>
      <w:r>
        <w:t>and &lt;3%</w:t>
      </w:r>
      <w:r>
        <w:rPr>
          <w:position w:val="8"/>
          <w:sz w:val="16"/>
        </w:rPr>
        <w:t xml:space="preserve">18 </w:t>
      </w:r>
      <w:r>
        <w:t xml:space="preserve">in diffuse large B-cell lymphoma (DLBCL) studied by </w:t>
      </w:r>
      <w:r>
        <w:rPr>
          <w:spacing w:val="2"/>
        </w:rPr>
        <w:t xml:space="preserve">WES </w:t>
      </w:r>
      <w:r>
        <w:t xml:space="preserve">(including 526/574 and 601/1001 cases, respectively, analyzed in the absence of matched non-neoplastic cells, whose sequencing could prevent the calling of CHIP-associated mutations). Notably, none of these rare </w:t>
      </w:r>
      <w:r>
        <w:rPr>
          <w:i/>
        </w:rPr>
        <w:t xml:space="preserve">DNMT3A </w:t>
      </w:r>
      <w:r>
        <w:t>mutations involved the R882 hotspot</w:t>
      </w:r>
      <w:r>
        <w:rPr>
          <w:position w:val="8"/>
          <w:sz w:val="16"/>
        </w:rPr>
        <w:t>17,18</w:t>
      </w:r>
      <w:r>
        <w:t xml:space="preserve">, as instead </w:t>
      </w:r>
      <w:r>
        <w:rPr>
          <w:spacing w:val="-3"/>
        </w:rPr>
        <w:t xml:space="preserve">we </w:t>
      </w:r>
      <w:r>
        <w:t xml:space="preserve">found in both the HRS cell and reactive tissue components of EBV+ cHL </w:t>
      </w:r>
      <w:r>
        <w:rPr>
          <w:color w:val="0E0E0E"/>
        </w:rPr>
        <w:t xml:space="preserve">Case 1 </w:t>
      </w:r>
      <w:r>
        <w:t>with an otherwise almost null exome-wide somatic mutation burden (known to be low in EBV+ cHL</w:t>
      </w:r>
      <w:r>
        <w:rPr>
          <w:position w:val="8"/>
          <w:sz w:val="16"/>
        </w:rPr>
        <w:t>19</w:t>
      </w:r>
      <w:r>
        <w:t xml:space="preserve">). However, whether or not </w:t>
      </w:r>
      <w:r>
        <w:rPr>
          <w:i/>
        </w:rPr>
        <w:t>DNMT3A</w:t>
      </w:r>
      <w:r>
        <w:rPr>
          <w:position w:val="8"/>
          <w:sz w:val="16"/>
        </w:rPr>
        <w:t xml:space="preserve">R882 </w:t>
      </w:r>
      <w:r>
        <w:t xml:space="preserve">mutations </w:t>
      </w:r>
      <w:r>
        <w:rPr>
          <w:spacing w:val="-3"/>
        </w:rPr>
        <w:t xml:space="preserve">may </w:t>
      </w:r>
      <w:r>
        <w:t xml:space="preserve">play a role in (EBV+) cHL pathogenesis, similar to </w:t>
      </w:r>
      <w:r>
        <w:rPr>
          <w:i/>
        </w:rPr>
        <w:t xml:space="preserve">TET2 </w:t>
      </w:r>
      <w:r>
        <w:t>mutations in DLBCL pathogenesis</w:t>
      </w:r>
      <w:r>
        <w:rPr>
          <w:position w:val="8"/>
          <w:sz w:val="16"/>
        </w:rPr>
        <w:t>20</w:t>
      </w:r>
      <w:r>
        <w:t>, requires additional</w:t>
      </w:r>
      <w:r>
        <w:rPr>
          <w:spacing w:val="-2"/>
        </w:rPr>
        <w:t xml:space="preserve"> </w:t>
      </w:r>
      <w:r>
        <w:t>investigations.</w:t>
      </w:r>
    </w:p>
    <w:p w:rsidR="007F7987" w:rsidRDefault="007F7987">
      <w:pPr>
        <w:pStyle w:val="Corpodeltesto"/>
        <w:spacing w:before="7"/>
        <w:ind w:left="0" w:firstLine="0"/>
        <w:jc w:val="left"/>
        <w:rPr>
          <w:sz w:val="36"/>
        </w:rPr>
      </w:pPr>
    </w:p>
    <w:p w:rsidR="007F7987" w:rsidRDefault="005979D0">
      <w:pPr>
        <w:pStyle w:val="Heading1"/>
        <w:spacing w:before="1"/>
        <w:jc w:val="both"/>
      </w:pPr>
      <w:r>
        <w:t>Post-therapy AML arising from a large pre-existing CH clone</w:t>
      </w:r>
    </w:p>
    <w:p w:rsidR="007F7987" w:rsidRDefault="005979D0">
      <w:pPr>
        <w:pStyle w:val="Corpodeltesto"/>
        <w:spacing w:before="142" w:line="360" w:lineRule="auto"/>
        <w:ind w:left="113" w:right="108" w:firstLine="0"/>
      </w:pPr>
      <w:r>
        <w:t xml:space="preserve">Among myeloid neoplasms arising from CHIP after cytotoxic treatments, including ASCT for lymphoma, it is important to recognize the genetically distinct cases of </w:t>
      </w:r>
      <w:r>
        <w:rPr>
          <w:i/>
        </w:rPr>
        <w:t xml:space="preserve">de novo </w:t>
      </w:r>
      <w:r>
        <w:t xml:space="preserve">AML carrying </w:t>
      </w:r>
      <w:r>
        <w:rPr>
          <w:i/>
        </w:rPr>
        <w:t xml:space="preserve">NPM1 </w:t>
      </w:r>
      <w:r>
        <w:t>mutations and normal karyotype (or anyway lacking therapy-related</w:t>
      </w:r>
    </w:p>
    <w:p w:rsidR="007F7987" w:rsidRDefault="007F7987">
      <w:pPr>
        <w:spacing w:line="360" w:lineRule="auto"/>
        <w:sectPr w:rsidR="007F7987">
          <w:pgSz w:w="11900" w:h="16840"/>
          <w:pgMar w:top="620" w:right="1020" w:bottom="1220" w:left="1020" w:header="0" w:footer="1036" w:gutter="0"/>
          <w:cols w:space="720"/>
        </w:sectPr>
      </w:pPr>
    </w:p>
    <w:p w:rsidR="007F7987" w:rsidRDefault="005979D0">
      <w:pPr>
        <w:pStyle w:val="Corpodeltesto"/>
        <w:spacing w:before="68" w:line="360" w:lineRule="auto"/>
        <w:ind w:left="113" w:right="102" w:firstLine="0"/>
      </w:pPr>
      <w:r>
        <w:lastRenderedPageBreak/>
        <w:t xml:space="preserve">cytogenetic abnormalities) that can arise from a large pre-existing CHIP clone driven by </w:t>
      </w:r>
      <w:r>
        <w:rPr>
          <w:i/>
        </w:rPr>
        <w:t>DNMT3A</w:t>
      </w:r>
      <w:r>
        <w:t xml:space="preserve">, </w:t>
      </w:r>
      <w:r>
        <w:rPr>
          <w:i/>
        </w:rPr>
        <w:t xml:space="preserve">TET2 </w:t>
      </w:r>
      <w:r>
        <w:t xml:space="preserve">and/or </w:t>
      </w:r>
      <w:r>
        <w:rPr>
          <w:i/>
        </w:rPr>
        <w:t xml:space="preserve">ASXL1 </w:t>
      </w:r>
      <w:r>
        <w:t xml:space="preserve">mutations (this report and refs. 21, 22, 23). Such </w:t>
      </w:r>
      <w:r>
        <w:rPr>
          <w:i/>
        </w:rPr>
        <w:t xml:space="preserve">de novo </w:t>
      </w:r>
      <w:r>
        <w:t xml:space="preserve">AML may develop in a therapy-unrelated manner that depend just on the higher risk of neoplastic evolution intrinsic to a CHIP clone already considerably expanded (refs. 22, 24 and this report); or in a manner that may be influenced by the previous treatment but through mechanisms distinct from those at play in the more frequent and typical cases of therapy-related myeloid neoplasms. Indeed, the latter usually carry an abnormal karyotype (often complex and/or including loss of chromosome 5 and 7) and evolve from a frequently less extensive CHIP sustained by mutations disabling </w:t>
      </w:r>
      <w:r>
        <w:rPr>
          <w:i/>
        </w:rPr>
        <w:t xml:space="preserve">TP53 </w:t>
      </w:r>
      <w:r>
        <w:t xml:space="preserve">and/or </w:t>
      </w:r>
      <w:r>
        <w:rPr>
          <w:i/>
        </w:rPr>
        <w:t>PPM1D</w:t>
      </w:r>
      <w:r>
        <w:t>, which confer resistance to cytotoxic treatments and are therefore often directly selected by therapy</w:t>
      </w:r>
      <w:r>
        <w:rPr>
          <w:position w:val="8"/>
          <w:sz w:val="16"/>
        </w:rPr>
        <w:t>2</w:t>
      </w:r>
      <w:r w:rsidR="0059611B">
        <w:rPr>
          <w:position w:val="8"/>
          <w:sz w:val="16"/>
        </w:rPr>
        <w:t>3,</w:t>
      </w:r>
      <w:r w:rsidR="00C40C13">
        <w:rPr>
          <w:position w:val="8"/>
          <w:sz w:val="16"/>
        </w:rPr>
        <w:t>25</w:t>
      </w:r>
      <w:r>
        <w:rPr>
          <w:position w:val="8"/>
          <w:sz w:val="16"/>
        </w:rPr>
        <w:t>-2</w:t>
      </w:r>
      <w:r w:rsidR="00C40C13">
        <w:rPr>
          <w:position w:val="8"/>
          <w:sz w:val="16"/>
        </w:rPr>
        <w:t>8</w:t>
      </w:r>
      <w:r>
        <w:t>. Although myeloablation during ASCT can promote the growth of pre-existing CHIP clones due to their higher fitness in reconstituting hematopoiesis</w:t>
      </w:r>
      <w:r w:rsidR="00C40C13">
        <w:rPr>
          <w:position w:val="8"/>
          <w:sz w:val="16"/>
        </w:rPr>
        <w:t>29</w:t>
      </w:r>
      <w:r>
        <w:t>, this phenomenon unlikely promoted AML development in our cHL patient (Case 1), as his CH was already massive before transplant. Anyway, further studies on larger number of cases are needed to better understand the specific pathogenetic mechanisms underlying the development of such atypical post-therapy myeloid neoplasms.</w:t>
      </w:r>
    </w:p>
    <w:p w:rsidR="007F7987" w:rsidRDefault="005979D0">
      <w:pPr>
        <w:pStyle w:val="Corpodeltesto"/>
        <w:spacing w:line="357" w:lineRule="auto"/>
        <w:ind w:left="113" w:right="102" w:firstLine="0"/>
      </w:pPr>
      <w:r>
        <w:t>Finally, it is interesting to note that, in Case 1, AML developed from a massive CH (VAF 47%) 6 years after CH was identified in coincidence with cHL diagnosis at 45 years of age. Conversely, in another patient we recently described</w:t>
      </w:r>
      <w:r>
        <w:rPr>
          <w:position w:val="8"/>
          <w:sz w:val="16"/>
        </w:rPr>
        <w:t>22</w:t>
      </w:r>
      <w:r>
        <w:t>, AML developed just one year after identifying at the same age a similarly massive CH (VAF 49%) and an angioimmunoblastic T-cell lymphoma evolved from it. Such different lag time in AML development in these two patients, despite the very similar CH size identified at the same age, could be due at least in part to the fact that in the former case only one gene mutation underlay CH (</w:t>
      </w:r>
      <w:r>
        <w:rPr>
          <w:i/>
        </w:rPr>
        <w:t>DNMT3A</w:t>
      </w:r>
      <w:r>
        <w:rPr>
          <w:position w:val="8"/>
          <w:sz w:val="16"/>
        </w:rPr>
        <w:t>R882H</w:t>
      </w:r>
      <w:r>
        <w:t>), whereas in the latter case the CH clone originating AML had multiple mutations disrupting two genes</w:t>
      </w:r>
      <w:r>
        <w:rPr>
          <w:position w:val="8"/>
          <w:sz w:val="16"/>
        </w:rPr>
        <w:t>22, 24, 3</w:t>
      </w:r>
      <w:r w:rsidR="00C40C13">
        <w:rPr>
          <w:position w:val="8"/>
          <w:sz w:val="16"/>
        </w:rPr>
        <w:t>0</w:t>
      </w:r>
      <w:r>
        <w:rPr>
          <w:position w:val="8"/>
          <w:sz w:val="16"/>
        </w:rPr>
        <w:t xml:space="preserve"> </w:t>
      </w:r>
      <w:r>
        <w:t>(</w:t>
      </w:r>
      <w:r>
        <w:rPr>
          <w:i/>
        </w:rPr>
        <w:t>TET2</w:t>
      </w:r>
      <w:r>
        <w:t xml:space="preserve">, likely in a biallelic manner, and </w:t>
      </w:r>
      <w:r>
        <w:rPr>
          <w:i/>
        </w:rPr>
        <w:t>ASXL1</w:t>
      </w:r>
      <w:r>
        <w:rPr>
          <w:position w:val="8"/>
          <w:sz w:val="16"/>
        </w:rPr>
        <w:t>22</w:t>
      </w:r>
      <w:r>
        <w:t>).</w:t>
      </w:r>
    </w:p>
    <w:p w:rsidR="007F7987" w:rsidRDefault="007F7987">
      <w:pPr>
        <w:pStyle w:val="Corpodeltesto"/>
        <w:spacing w:before="5"/>
        <w:ind w:left="0" w:firstLine="0"/>
        <w:jc w:val="left"/>
      </w:pPr>
    </w:p>
    <w:p w:rsidR="007F7987" w:rsidRDefault="005979D0">
      <w:pPr>
        <w:pStyle w:val="Heading1"/>
        <w:jc w:val="both"/>
      </w:pPr>
      <w:r>
        <w:t>SUPPLEMENTARY REFERENCES</w:t>
      </w:r>
    </w:p>
    <w:p w:rsidR="007F7987" w:rsidRDefault="007F7987">
      <w:pPr>
        <w:pStyle w:val="Corpodeltesto"/>
        <w:spacing w:before="5"/>
        <w:ind w:left="0" w:firstLine="0"/>
        <w:jc w:val="left"/>
        <w:rPr>
          <w:b/>
        </w:rPr>
      </w:pPr>
    </w:p>
    <w:p w:rsidR="007F7987" w:rsidRDefault="005979D0">
      <w:pPr>
        <w:pStyle w:val="Paragrafoelenco"/>
        <w:numPr>
          <w:ilvl w:val="0"/>
          <w:numId w:val="1"/>
        </w:numPr>
        <w:tabs>
          <w:tab w:val="left" w:pos="820"/>
        </w:tabs>
        <w:ind w:right="107" w:hanging="361"/>
        <w:jc w:val="both"/>
        <w:rPr>
          <w:sz w:val="24"/>
        </w:rPr>
      </w:pPr>
      <w:r>
        <w:rPr>
          <w:sz w:val="24"/>
        </w:rPr>
        <w:t xml:space="preserve">Canellos GP, Anderson JR, Propert KJ, </w:t>
      </w:r>
      <w:r w:rsidR="00E00F1A">
        <w:rPr>
          <w:sz w:val="24"/>
        </w:rPr>
        <w:t xml:space="preserve">Nissen N, Cooper MR, Henderson ES, </w:t>
      </w:r>
      <w:r>
        <w:rPr>
          <w:sz w:val="24"/>
        </w:rPr>
        <w:t xml:space="preserve">et al. Chemotherapy of advanced  Hodgkin’s disease with MOPP, ABVD, or MOPP alternating with ABVD. </w:t>
      </w:r>
      <w:r>
        <w:rPr>
          <w:i/>
          <w:sz w:val="24"/>
        </w:rPr>
        <w:t>N Engl J Med</w:t>
      </w:r>
      <w:r>
        <w:rPr>
          <w:sz w:val="24"/>
        </w:rPr>
        <w:t>.</w:t>
      </w:r>
      <w:r>
        <w:rPr>
          <w:spacing w:val="-1"/>
          <w:sz w:val="24"/>
        </w:rPr>
        <w:t xml:space="preserve"> </w:t>
      </w:r>
      <w:r>
        <w:rPr>
          <w:sz w:val="24"/>
        </w:rPr>
        <w:t>1992;327(21):1478-84.</w:t>
      </w:r>
    </w:p>
    <w:p w:rsidR="007F7987" w:rsidRDefault="005979D0">
      <w:pPr>
        <w:pStyle w:val="Paragrafoelenco"/>
        <w:numPr>
          <w:ilvl w:val="0"/>
          <w:numId w:val="1"/>
        </w:numPr>
        <w:tabs>
          <w:tab w:val="left" w:pos="820"/>
        </w:tabs>
        <w:ind w:right="120" w:hanging="361"/>
        <w:jc w:val="both"/>
        <w:rPr>
          <w:sz w:val="24"/>
        </w:rPr>
      </w:pPr>
      <w:r w:rsidRPr="00E00F1A">
        <w:rPr>
          <w:sz w:val="24"/>
          <w:lang w:val="it-IT"/>
        </w:rPr>
        <w:t xml:space="preserve">Santoro A, Magagnoli M, Spina </w:t>
      </w:r>
      <w:r w:rsidR="00E00F1A" w:rsidRPr="00E00F1A">
        <w:rPr>
          <w:sz w:val="24"/>
          <w:lang w:val="it-IT"/>
        </w:rPr>
        <w:t>M, Pinotti G, Siracusano L, Michieli M,</w:t>
      </w:r>
      <w:r w:rsidRPr="00E00F1A">
        <w:rPr>
          <w:sz w:val="24"/>
          <w:lang w:val="it-IT"/>
        </w:rPr>
        <w:t xml:space="preserve"> et al. </w:t>
      </w:r>
      <w:r>
        <w:rPr>
          <w:sz w:val="24"/>
        </w:rPr>
        <w:t xml:space="preserve">Ifosfamide, gemcitabine, and vinorelbine: a new induction regimen for refractory and relapsed Hodgkin’s lymphoma. </w:t>
      </w:r>
      <w:r>
        <w:rPr>
          <w:i/>
          <w:sz w:val="24"/>
        </w:rPr>
        <w:t>Haematologica</w:t>
      </w:r>
      <w:r>
        <w:rPr>
          <w:sz w:val="24"/>
        </w:rPr>
        <w:t>.</w:t>
      </w:r>
      <w:r>
        <w:rPr>
          <w:spacing w:val="-1"/>
          <w:sz w:val="24"/>
        </w:rPr>
        <w:t xml:space="preserve"> </w:t>
      </w:r>
      <w:r>
        <w:rPr>
          <w:sz w:val="24"/>
        </w:rPr>
        <w:t>2007;92(1):35-41.</w:t>
      </w:r>
    </w:p>
    <w:p w:rsidR="007F7987" w:rsidRDefault="005979D0">
      <w:pPr>
        <w:pStyle w:val="Paragrafoelenco"/>
        <w:numPr>
          <w:ilvl w:val="0"/>
          <w:numId w:val="1"/>
        </w:numPr>
        <w:tabs>
          <w:tab w:val="left" w:pos="820"/>
        </w:tabs>
        <w:ind w:right="102" w:hanging="361"/>
        <w:jc w:val="both"/>
        <w:rPr>
          <w:sz w:val="24"/>
        </w:rPr>
      </w:pPr>
      <w:r w:rsidRPr="00E00F1A">
        <w:rPr>
          <w:sz w:val="24"/>
          <w:lang w:val="it-IT"/>
        </w:rPr>
        <w:t xml:space="preserve">Musso M, Scalone R, Marcacci G, </w:t>
      </w:r>
      <w:r w:rsidR="00E00F1A">
        <w:rPr>
          <w:sz w:val="24"/>
          <w:lang w:val="it-IT"/>
        </w:rPr>
        <w:t xml:space="preserve">Lanza F, Di Renzo N, Cascavilla N, </w:t>
      </w:r>
      <w:r w:rsidRPr="00E00F1A">
        <w:rPr>
          <w:sz w:val="24"/>
          <w:lang w:val="it-IT"/>
        </w:rPr>
        <w:t xml:space="preserve">et al. </w:t>
      </w:r>
      <w:r>
        <w:rPr>
          <w:sz w:val="24"/>
        </w:rPr>
        <w:t xml:space="preserve">Fotemustine plus etoposide, cytarabine  and melphalan (FEAM) as a new conditioning regimen for lymphoma patients undergoing auto-SCT: a multicenter feasibility study. </w:t>
      </w:r>
      <w:r>
        <w:rPr>
          <w:i/>
          <w:sz w:val="24"/>
        </w:rPr>
        <w:t>Bone Marrow Transplant</w:t>
      </w:r>
      <w:r>
        <w:rPr>
          <w:sz w:val="24"/>
        </w:rPr>
        <w:t>. 2010;45(7):1147-1153.</w:t>
      </w:r>
    </w:p>
    <w:p w:rsidR="007F7987" w:rsidRDefault="005979D0">
      <w:pPr>
        <w:pStyle w:val="Paragrafoelenco"/>
        <w:numPr>
          <w:ilvl w:val="0"/>
          <w:numId w:val="1"/>
        </w:numPr>
        <w:tabs>
          <w:tab w:val="left" w:pos="820"/>
        </w:tabs>
        <w:spacing w:before="3" w:line="237" w:lineRule="auto"/>
        <w:ind w:right="122" w:hanging="361"/>
        <w:jc w:val="both"/>
        <w:rPr>
          <w:sz w:val="24"/>
        </w:rPr>
      </w:pPr>
      <w:r>
        <w:rPr>
          <w:sz w:val="24"/>
        </w:rPr>
        <w:t xml:space="preserve">Stone RM, Mandrekar SJ, Sanford BL, </w:t>
      </w:r>
      <w:r w:rsidR="00E00F1A">
        <w:rPr>
          <w:sz w:val="24"/>
        </w:rPr>
        <w:t xml:space="preserve">Laumann K, Geyer S, Bloomfield CD, </w:t>
      </w:r>
      <w:r>
        <w:rPr>
          <w:sz w:val="24"/>
        </w:rPr>
        <w:t xml:space="preserve">et al. Midostaurin plus chemotherapy for acute myeloid leukemia with a FLT3 mutation. </w:t>
      </w:r>
      <w:r>
        <w:rPr>
          <w:i/>
          <w:sz w:val="24"/>
        </w:rPr>
        <w:t>N Engl J Med.</w:t>
      </w:r>
      <w:r>
        <w:rPr>
          <w:i/>
          <w:spacing w:val="-20"/>
          <w:sz w:val="24"/>
        </w:rPr>
        <w:t xml:space="preserve"> </w:t>
      </w:r>
      <w:r>
        <w:rPr>
          <w:sz w:val="24"/>
        </w:rPr>
        <w:t>2017;377(5):454-464.</w:t>
      </w:r>
    </w:p>
    <w:p w:rsidR="007F7987" w:rsidRDefault="007F7987">
      <w:pPr>
        <w:spacing w:line="237" w:lineRule="auto"/>
        <w:jc w:val="both"/>
        <w:rPr>
          <w:sz w:val="24"/>
        </w:rPr>
        <w:sectPr w:rsidR="007F7987">
          <w:pgSz w:w="11900" w:h="16840"/>
          <w:pgMar w:top="620" w:right="1020" w:bottom="1220" w:left="1020" w:header="0" w:footer="1036" w:gutter="0"/>
          <w:cols w:space="720"/>
        </w:sectPr>
      </w:pPr>
    </w:p>
    <w:p w:rsidR="007F7987" w:rsidRDefault="005979D0">
      <w:pPr>
        <w:pStyle w:val="Paragrafoelenco"/>
        <w:numPr>
          <w:ilvl w:val="0"/>
          <w:numId w:val="1"/>
        </w:numPr>
        <w:tabs>
          <w:tab w:val="left" w:pos="820"/>
        </w:tabs>
        <w:spacing w:before="70" w:line="237" w:lineRule="auto"/>
        <w:ind w:right="105" w:hanging="361"/>
        <w:jc w:val="both"/>
        <w:rPr>
          <w:sz w:val="24"/>
        </w:rPr>
      </w:pPr>
      <w:r>
        <w:rPr>
          <w:sz w:val="24"/>
        </w:rPr>
        <w:lastRenderedPageBreak/>
        <w:t>Ley T, Ding L, Walter MJ,</w:t>
      </w:r>
      <w:r w:rsidR="00E00F1A">
        <w:rPr>
          <w:sz w:val="24"/>
        </w:rPr>
        <w:t xml:space="preserve"> McLellan MD, Lamprecht T, Larson DE,</w:t>
      </w:r>
      <w:r>
        <w:rPr>
          <w:sz w:val="24"/>
        </w:rPr>
        <w:t xml:space="preserve"> et al. DNMT3A mutations in acute myeloid leukemia. </w:t>
      </w:r>
      <w:r>
        <w:rPr>
          <w:i/>
          <w:sz w:val="24"/>
        </w:rPr>
        <w:t>N Engl J Med</w:t>
      </w:r>
      <w:r>
        <w:rPr>
          <w:sz w:val="24"/>
        </w:rPr>
        <w:t>.</w:t>
      </w:r>
      <w:r>
        <w:rPr>
          <w:spacing w:val="-1"/>
          <w:sz w:val="24"/>
        </w:rPr>
        <w:t xml:space="preserve"> </w:t>
      </w:r>
      <w:r>
        <w:rPr>
          <w:sz w:val="24"/>
        </w:rPr>
        <w:t>2010;363:2424-2433.</w:t>
      </w:r>
    </w:p>
    <w:p w:rsidR="007F7987" w:rsidRDefault="005979D0">
      <w:pPr>
        <w:pStyle w:val="Paragrafoelenco"/>
        <w:numPr>
          <w:ilvl w:val="0"/>
          <w:numId w:val="1"/>
        </w:numPr>
        <w:tabs>
          <w:tab w:val="left" w:pos="820"/>
        </w:tabs>
        <w:spacing w:before="3"/>
        <w:ind w:right="113" w:hanging="361"/>
        <w:jc w:val="both"/>
        <w:rPr>
          <w:sz w:val="24"/>
        </w:rPr>
      </w:pPr>
      <w:r w:rsidRPr="0059611B">
        <w:rPr>
          <w:sz w:val="24"/>
        </w:rPr>
        <w:t xml:space="preserve">Russler-Germain Da, Spencer DH, Young </w:t>
      </w:r>
      <w:r w:rsidRPr="0059611B">
        <w:rPr>
          <w:spacing w:val="-2"/>
          <w:sz w:val="24"/>
        </w:rPr>
        <w:t>MA,</w:t>
      </w:r>
      <w:r w:rsidR="00E00F1A" w:rsidRPr="0059611B">
        <w:rPr>
          <w:spacing w:val="-2"/>
          <w:sz w:val="24"/>
        </w:rPr>
        <w:t xml:space="preserve"> Lamprecht TL, Miller CA, Fulton R,</w:t>
      </w:r>
      <w:r w:rsidRPr="0059611B">
        <w:rPr>
          <w:spacing w:val="-2"/>
          <w:sz w:val="24"/>
        </w:rPr>
        <w:t xml:space="preserve"> </w:t>
      </w:r>
      <w:r w:rsidRPr="0059611B">
        <w:rPr>
          <w:sz w:val="24"/>
        </w:rPr>
        <w:t xml:space="preserve">et al. </w:t>
      </w:r>
      <w:r>
        <w:rPr>
          <w:sz w:val="24"/>
        </w:rPr>
        <w:t xml:space="preserve">The R882H DNMT3A mutation associated with </w:t>
      </w:r>
      <w:r>
        <w:rPr>
          <w:spacing w:val="-2"/>
          <w:sz w:val="24"/>
        </w:rPr>
        <w:t xml:space="preserve">AML </w:t>
      </w:r>
      <w:r>
        <w:rPr>
          <w:sz w:val="24"/>
        </w:rPr>
        <w:t xml:space="preserve">dominantly inhibits wild-type DNMT3A by blocking its ability </w:t>
      </w:r>
      <w:r>
        <w:rPr>
          <w:spacing w:val="-3"/>
          <w:sz w:val="24"/>
        </w:rPr>
        <w:t xml:space="preserve">to </w:t>
      </w:r>
      <w:r>
        <w:rPr>
          <w:sz w:val="24"/>
        </w:rPr>
        <w:t xml:space="preserve">form active tetramers. </w:t>
      </w:r>
      <w:r>
        <w:rPr>
          <w:i/>
          <w:sz w:val="24"/>
        </w:rPr>
        <w:t>Cancer Cell</w:t>
      </w:r>
      <w:r>
        <w:rPr>
          <w:sz w:val="24"/>
        </w:rPr>
        <w:t>.</w:t>
      </w:r>
      <w:r>
        <w:rPr>
          <w:spacing w:val="-5"/>
          <w:sz w:val="24"/>
        </w:rPr>
        <w:t xml:space="preserve"> </w:t>
      </w:r>
      <w:r>
        <w:rPr>
          <w:sz w:val="24"/>
        </w:rPr>
        <w:t>2014;25(4):442-54.</w:t>
      </w:r>
    </w:p>
    <w:p w:rsidR="007F7987" w:rsidRDefault="005979D0">
      <w:pPr>
        <w:pStyle w:val="Paragrafoelenco"/>
        <w:numPr>
          <w:ilvl w:val="0"/>
          <w:numId w:val="1"/>
        </w:numPr>
        <w:tabs>
          <w:tab w:val="left" w:pos="820"/>
        </w:tabs>
        <w:ind w:right="106" w:hanging="361"/>
        <w:jc w:val="both"/>
        <w:rPr>
          <w:sz w:val="24"/>
        </w:rPr>
      </w:pPr>
      <w:r>
        <w:rPr>
          <w:sz w:val="24"/>
        </w:rPr>
        <w:t>Buscarlet M, Provost S, Zada YF,</w:t>
      </w:r>
      <w:r w:rsidR="00E00F1A">
        <w:rPr>
          <w:sz w:val="24"/>
        </w:rPr>
        <w:t xml:space="preserve"> Bourgoin V, Mollica L, Dubé MP,</w:t>
      </w:r>
      <w:r>
        <w:rPr>
          <w:sz w:val="24"/>
        </w:rPr>
        <w:t xml:space="preserve"> et al. Lineage restriction analyses in CHIP indicate myeloid bias for TET2 and multipotent stem cell origin for DNMT3A. </w:t>
      </w:r>
      <w:r>
        <w:rPr>
          <w:i/>
          <w:sz w:val="24"/>
        </w:rPr>
        <w:t>Blood</w:t>
      </w:r>
      <w:r>
        <w:rPr>
          <w:sz w:val="24"/>
        </w:rPr>
        <w:t>. 2018;132(3):277–280.</w:t>
      </w:r>
    </w:p>
    <w:p w:rsidR="007F7987" w:rsidRDefault="005979D0">
      <w:pPr>
        <w:pStyle w:val="Paragrafoelenco"/>
        <w:numPr>
          <w:ilvl w:val="0"/>
          <w:numId w:val="1"/>
        </w:numPr>
        <w:tabs>
          <w:tab w:val="left" w:pos="820"/>
        </w:tabs>
        <w:spacing w:before="1"/>
        <w:ind w:right="113" w:hanging="361"/>
        <w:jc w:val="both"/>
        <w:rPr>
          <w:sz w:val="24"/>
        </w:rPr>
      </w:pPr>
      <w:r>
        <w:rPr>
          <w:sz w:val="24"/>
        </w:rPr>
        <w:t xml:space="preserve">Buscarlet M, Provost S, Zada YF, </w:t>
      </w:r>
      <w:r w:rsidR="00E00F1A">
        <w:rPr>
          <w:sz w:val="24"/>
        </w:rPr>
        <w:t xml:space="preserve">Barhdadi A, Bourgoin V, Lépine G, </w:t>
      </w:r>
      <w:r>
        <w:rPr>
          <w:sz w:val="24"/>
        </w:rPr>
        <w:t xml:space="preserve">et al. </w:t>
      </w:r>
      <w:r>
        <w:rPr>
          <w:i/>
          <w:sz w:val="24"/>
        </w:rPr>
        <w:t xml:space="preserve">DNMT3A </w:t>
      </w:r>
      <w:r>
        <w:rPr>
          <w:sz w:val="24"/>
        </w:rPr>
        <w:t xml:space="preserve">and </w:t>
      </w:r>
      <w:r>
        <w:rPr>
          <w:i/>
          <w:sz w:val="24"/>
        </w:rPr>
        <w:t xml:space="preserve">TET2 </w:t>
      </w:r>
      <w:r>
        <w:rPr>
          <w:sz w:val="24"/>
        </w:rPr>
        <w:t xml:space="preserve">dominate clonal hematopoiesis and demonstrate benign phenotypes and different genetic predispositions. </w:t>
      </w:r>
      <w:r>
        <w:rPr>
          <w:i/>
          <w:sz w:val="24"/>
        </w:rPr>
        <w:t>Blood.</w:t>
      </w:r>
      <w:r>
        <w:rPr>
          <w:i/>
          <w:spacing w:val="4"/>
          <w:sz w:val="24"/>
        </w:rPr>
        <w:t xml:space="preserve"> </w:t>
      </w:r>
      <w:r>
        <w:rPr>
          <w:sz w:val="24"/>
        </w:rPr>
        <w:t>2017;130(6):753-762.</w:t>
      </w:r>
    </w:p>
    <w:p w:rsidR="007F7987" w:rsidRDefault="005979D0">
      <w:pPr>
        <w:pStyle w:val="Paragrafoelenco"/>
        <w:numPr>
          <w:ilvl w:val="0"/>
          <w:numId w:val="1"/>
        </w:numPr>
        <w:tabs>
          <w:tab w:val="left" w:pos="820"/>
        </w:tabs>
        <w:spacing w:line="242" w:lineRule="auto"/>
        <w:ind w:right="111" w:hanging="361"/>
        <w:jc w:val="both"/>
        <w:rPr>
          <w:sz w:val="24"/>
        </w:rPr>
      </w:pPr>
      <w:r>
        <w:rPr>
          <w:sz w:val="24"/>
        </w:rPr>
        <w:t xml:space="preserve">Shlush LI, Zandi S, Mitchell A, </w:t>
      </w:r>
      <w:r w:rsidR="00E00F1A">
        <w:rPr>
          <w:sz w:val="24"/>
        </w:rPr>
        <w:t xml:space="preserve">Chen WC, Brandwein JM, Gupta V, </w:t>
      </w:r>
      <w:r>
        <w:rPr>
          <w:sz w:val="24"/>
        </w:rPr>
        <w:t xml:space="preserve">et al. Identification of pre-leukaemic hematopoietic stem cells in acute leukaemia. </w:t>
      </w:r>
      <w:r>
        <w:rPr>
          <w:i/>
          <w:sz w:val="24"/>
        </w:rPr>
        <w:t>Nature.</w:t>
      </w:r>
      <w:r>
        <w:rPr>
          <w:i/>
          <w:spacing w:val="-17"/>
          <w:sz w:val="24"/>
        </w:rPr>
        <w:t xml:space="preserve"> </w:t>
      </w:r>
      <w:r>
        <w:rPr>
          <w:sz w:val="24"/>
        </w:rPr>
        <w:t>2014;20;506(7488):328-33.</w:t>
      </w:r>
    </w:p>
    <w:p w:rsidR="007F7987" w:rsidRDefault="005979D0">
      <w:pPr>
        <w:pStyle w:val="Paragrafoelenco"/>
        <w:numPr>
          <w:ilvl w:val="0"/>
          <w:numId w:val="1"/>
        </w:numPr>
        <w:tabs>
          <w:tab w:val="left" w:pos="887"/>
        </w:tabs>
        <w:spacing w:line="242" w:lineRule="auto"/>
        <w:ind w:right="118" w:hanging="361"/>
        <w:jc w:val="both"/>
        <w:rPr>
          <w:sz w:val="24"/>
        </w:rPr>
      </w:pPr>
      <w:r>
        <w:rPr>
          <w:sz w:val="24"/>
        </w:rPr>
        <w:t>Challen GA, Sun D, Jeong M</w:t>
      </w:r>
      <w:r w:rsidR="00E00F1A">
        <w:rPr>
          <w:sz w:val="24"/>
        </w:rPr>
        <w:t>, Luo M, Jelinek J, Berg JS,</w:t>
      </w:r>
      <w:r>
        <w:rPr>
          <w:sz w:val="24"/>
        </w:rPr>
        <w:t xml:space="preserve"> et al. Dnmt3a is essential for hematopoietic stem cell differentiation. </w:t>
      </w:r>
      <w:r>
        <w:rPr>
          <w:i/>
          <w:sz w:val="24"/>
        </w:rPr>
        <w:t>Nat Genet</w:t>
      </w:r>
      <w:r>
        <w:rPr>
          <w:sz w:val="24"/>
        </w:rPr>
        <w:t>.</w:t>
      </w:r>
      <w:r>
        <w:rPr>
          <w:spacing w:val="-7"/>
          <w:sz w:val="24"/>
        </w:rPr>
        <w:t xml:space="preserve"> </w:t>
      </w:r>
      <w:r>
        <w:rPr>
          <w:sz w:val="24"/>
        </w:rPr>
        <w:t>2011;44(1):23-3.</w:t>
      </w:r>
    </w:p>
    <w:p w:rsidR="007F7987" w:rsidRDefault="005979D0">
      <w:pPr>
        <w:pStyle w:val="Paragrafoelenco"/>
        <w:numPr>
          <w:ilvl w:val="0"/>
          <w:numId w:val="1"/>
        </w:numPr>
        <w:tabs>
          <w:tab w:val="left" w:pos="887"/>
        </w:tabs>
        <w:spacing w:line="242" w:lineRule="auto"/>
        <w:ind w:right="111" w:hanging="361"/>
        <w:jc w:val="both"/>
        <w:rPr>
          <w:sz w:val="24"/>
        </w:rPr>
      </w:pPr>
      <w:r>
        <w:rPr>
          <w:sz w:val="24"/>
        </w:rPr>
        <w:t>Mayle A, Yang L, Rodriguez B,</w:t>
      </w:r>
      <w:r w:rsidR="00E00F1A">
        <w:rPr>
          <w:sz w:val="24"/>
        </w:rPr>
        <w:t xml:space="preserve"> Zhou T, Chang E, Curry CV,</w:t>
      </w:r>
      <w:r>
        <w:rPr>
          <w:sz w:val="24"/>
        </w:rPr>
        <w:t xml:space="preserve"> et al. Dnmt3a loss predisposes murine hematopoietic stem cells to malignant transformation</w:t>
      </w:r>
      <w:r>
        <w:rPr>
          <w:i/>
          <w:sz w:val="24"/>
        </w:rPr>
        <w:t>. Blood.</w:t>
      </w:r>
      <w:r>
        <w:rPr>
          <w:i/>
          <w:spacing w:val="-25"/>
          <w:sz w:val="24"/>
        </w:rPr>
        <w:t xml:space="preserve"> </w:t>
      </w:r>
      <w:r>
        <w:rPr>
          <w:sz w:val="24"/>
        </w:rPr>
        <w:t>2015;125(4):629-638.</w:t>
      </w:r>
    </w:p>
    <w:p w:rsidR="007F7987" w:rsidRDefault="005979D0">
      <w:pPr>
        <w:pStyle w:val="Paragrafoelenco"/>
        <w:numPr>
          <w:ilvl w:val="0"/>
          <w:numId w:val="1"/>
        </w:numPr>
        <w:tabs>
          <w:tab w:val="left" w:pos="887"/>
        </w:tabs>
        <w:ind w:right="102" w:hanging="361"/>
        <w:jc w:val="both"/>
        <w:rPr>
          <w:sz w:val="24"/>
        </w:rPr>
      </w:pPr>
      <w:r w:rsidRPr="00E00F1A">
        <w:rPr>
          <w:sz w:val="24"/>
          <w:lang w:val="it-IT"/>
        </w:rPr>
        <w:t>Celik H, Mallaney C, Kothari A,</w:t>
      </w:r>
      <w:r w:rsidR="00E00F1A" w:rsidRPr="00E00F1A">
        <w:rPr>
          <w:sz w:val="24"/>
          <w:lang w:val="it-IT"/>
        </w:rPr>
        <w:t xml:space="preserve"> Ostrander EL, Eultgen E, Martens A,</w:t>
      </w:r>
      <w:r w:rsidRPr="00E00F1A">
        <w:rPr>
          <w:sz w:val="24"/>
          <w:lang w:val="it-IT"/>
        </w:rPr>
        <w:t xml:space="preserve"> et al. </w:t>
      </w:r>
      <w:r>
        <w:rPr>
          <w:sz w:val="24"/>
        </w:rPr>
        <w:t xml:space="preserve">Enforced differentiation of Dnmt3a-null bone marrow leads to failure with c-kit mutations driving leukemic transformation. </w:t>
      </w:r>
      <w:r>
        <w:rPr>
          <w:i/>
          <w:sz w:val="24"/>
        </w:rPr>
        <w:t>Blood</w:t>
      </w:r>
      <w:r>
        <w:rPr>
          <w:sz w:val="24"/>
        </w:rPr>
        <w:t>. 2015;125(4):619-28.</w:t>
      </w:r>
    </w:p>
    <w:p w:rsidR="007F7987" w:rsidRDefault="005979D0">
      <w:pPr>
        <w:pStyle w:val="Paragrafoelenco"/>
        <w:numPr>
          <w:ilvl w:val="0"/>
          <w:numId w:val="1"/>
        </w:numPr>
        <w:tabs>
          <w:tab w:val="left" w:pos="887"/>
        </w:tabs>
        <w:ind w:right="109" w:hanging="361"/>
        <w:jc w:val="both"/>
        <w:rPr>
          <w:sz w:val="24"/>
        </w:rPr>
      </w:pPr>
      <w:r w:rsidRPr="00E00F1A">
        <w:rPr>
          <w:sz w:val="24"/>
          <w:lang w:val="it-IT"/>
        </w:rPr>
        <w:t xml:space="preserve">Peters SL, Hlady RA, Opavska </w:t>
      </w:r>
      <w:r w:rsidRPr="00E00F1A">
        <w:rPr>
          <w:spacing w:val="-3"/>
          <w:sz w:val="24"/>
          <w:lang w:val="it-IT"/>
        </w:rPr>
        <w:t xml:space="preserve">J, </w:t>
      </w:r>
      <w:r w:rsidR="00E00F1A" w:rsidRPr="00E00F1A">
        <w:rPr>
          <w:spacing w:val="-3"/>
          <w:sz w:val="24"/>
          <w:lang w:val="it-IT"/>
        </w:rPr>
        <w:t xml:space="preserve">Klinkebiel D, Pirruccello SJ, Talmon GA, </w:t>
      </w:r>
      <w:r w:rsidRPr="00E00F1A">
        <w:rPr>
          <w:sz w:val="24"/>
          <w:lang w:val="it-IT"/>
        </w:rPr>
        <w:t xml:space="preserve">et al. </w:t>
      </w:r>
      <w:r>
        <w:rPr>
          <w:sz w:val="24"/>
        </w:rPr>
        <w:t xml:space="preserve">Tumor suppressor functions of Dnmt3a and Dnmt3b in the prevention of malignant mouse lymphopoiesis. </w:t>
      </w:r>
      <w:r>
        <w:rPr>
          <w:i/>
          <w:sz w:val="24"/>
        </w:rPr>
        <w:t>Leukemia</w:t>
      </w:r>
      <w:r>
        <w:rPr>
          <w:sz w:val="24"/>
        </w:rPr>
        <w:t>. 2014;28(5):1138-42.</w:t>
      </w:r>
    </w:p>
    <w:p w:rsidR="007F7987" w:rsidRDefault="005979D0">
      <w:pPr>
        <w:pStyle w:val="Paragrafoelenco"/>
        <w:numPr>
          <w:ilvl w:val="0"/>
          <w:numId w:val="1"/>
        </w:numPr>
        <w:tabs>
          <w:tab w:val="left" w:pos="887"/>
        </w:tabs>
        <w:ind w:right="111" w:hanging="361"/>
        <w:jc w:val="both"/>
        <w:rPr>
          <w:sz w:val="24"/>
        </w:rPr>
      </w:pPr>
      <w:r>
        <w:rPr>
          <w:sz w:val="24"/>
        </w:rPr>
        <w:t xml:space="preserve">Haney SL, Upchurch GM, Opavska J, </w:t>
      </w:r>
      <w:r w:rsidR="00E00F1A">
        <w:rPr>
          <w:sz w:val="24"/>
        </w:rPr>
        <w:t xml:space="preserve">Klinkebiel D, </w:t>
      </w:r>
      <w:r w:rsidR="00741487">
        <w:rPr>
          <w:sz w:val="24"/>
        </w:rPr>
        <w:t xml:space="preserve">Kusi Appiah A, Smith LM, </w:t>
      </w:r>
      <w:r>
        <w:rPr>
          <w:sz w:val="24"/>
        </w:rPr>
        <w:t xml:space="preserve">et al. Loss of Dnmt3a induces CLL and PTCL with distinct methylomes and transcriptomes in mice. </w:t>
      </w:r>
      <w:r>
        <w:rPr>
          <w:i/>
          <w:sz w:val="24"/>
        </w:rPr>
        <w:t>Sci Rep</w:t>
      </w:r>
      <w:r>
        <w:rPr>
          <w:sz w:val="24"/>
        </w:rPr>
        <w:t>. 2016;28;6:34222.</w:t>
      </w:r>
    </w:p>
    <w:p w:rsidR="007F7987" w:rsidRDefault="005979D0">
      <w:pPr>
        <w:pStyle w:val="Paragrafoelenco"/>
        <w:numPr>
          <w:ilvl w:val="0"/>
          <w:numId w:val="1"/>
        </w:numPr>
        <w:tabs>
          <w:tab w:val="left" w:pos="887"/>
        </w:tabs>
        <w:ind w:right="124" w:hanging="361"/>
        <w:jc w:val="both"/>
        <w:rPr>
          <w:sz w:val="24"/>
        </w:rPr>
      </w:pPr>
      <w:r>
        <w:rPr>
          <w:sz w:val="24"/>
        </w:rPr>
        <w:t xml:space="preserve">Guryanova OA, Shank K, Spitzer B, </w:t>
      </w:r>
      <w:r w:rsidR="00741487">
        <w:rPr>
          <w:sz w:val="24"/>
        </w:rPr>
        <w:t xml:space="preserve">Luciani L, Koche RP, Garrett-Bakelman FE, </w:t>
      </w:r>
      <w:r>
        <w:rPr>
          <w:sz w:val="24"/>
        </w:rPr>
        <w:t xml:space="preserve">et al. DNMT3A mutations promote anthracycline resistance in acute myeloid leukemia via impaired nucleosome remodeling. </w:t>
      </w:r>
      <w:r>
        <w:rPr>
          <w:i/>
          <w:sz w:val="24"/>
        </w:rPr>
        <w:t>Nat Med</w:t>
      </w:r>
      <w:r>
        <w:rPr>
          <w:sz w:val="24"/>
        </w:rPr>
        <w:t>.</w:t>
      </w:r>
      <w:r>
        <w:rPr>
          <w:spacing w:val="-2"/>
          <w:sz w:val="24"/>
        </w:rPr>
        <w:t xml:space="preserve"> </w:t>
      </w:r>
      <w:r>
        <w:rPr>
          <w:sz w:val="24"/>
        </w:rPr>
        <w:t>2016;22(12):1488-1495.</w:t>
      </w:r>
    </w:p>
    <w:p w:rsidR="007F7987" w:rsidRDefault="005979D0">
      <w:pPr>
        <w:pStyle w:val="Paragrafoelenco"/>
        <w:numPr>
          <w:ilvl w:val="0"/>
          <w:numId w:val="1"/>
        </w:numPr>
        <w:tabs>
          <w:tab w:val="left" w:pos="887"/>
        </w:tabs>
        <w:ind w:right="107" w:hanging="361"/>
        <w:jc w:val="both"/>
        <w:rPr>
          <w:sz w:val="24"/>
        </w:rPr>
      </w:pPr>
      <w:r w:rsidRPr="00741487">
        <w:rPr>
          <w:sz w:val="24"/>
          <w:lang w:val="it-IT"/>
        </w:rPr>
        <w:t xml:space="preserve">Loberg </w:t>
      </w:r>
      <w:r w:rsidRPr="00741487">
        <w:rPr>
          <w:spacing w:val="-2"/>
          <w:sz w:val="24"/>
          <w:lang w:val="it-IT"/>
        </w:rPr>
        <w:t xml:space="preserve">MA, </w:t>
      </w:r>
      <w:r w:rsidRPr="00741487">
        <w:rPr>
          <w:sz w:val="24"/>
          <w:lang w:val="it-IT"/>
        </w:rPr>
        <w:t xml:space="preserve">Bell RK, Goowing LO, </w:t>
      </w:r>
      <w:r w:rsidR="00741487" w:rsidRPr="00741487">
        <w:rPr>
          <w:sz w:val="24"/>
          <w:lang w:val="it-IT"/>
        </w:rPr>
        <w:t xml:space="preserve">Eudy E, Miles LA, SanMiguel JM, </w:t>
      </w:r>
      <w:r w:rsidRPr="00741487">
        <w:rPr>
          <w:sz w:val="24"/>
          <w:lang w:val="it-IT"/>
        </w:rPr>
        <w:t xml:space="preserve">et al. </w:t>
      </w:r>
      <w:r>
        <w:rPr>
          <w:sz w:val="24"/>
        </w:rPr>
        <w:t xml:space="preserve">Sequentially inducible mouse models reveal that NPM1 mutation causes malignant transformation of DNMT3a-mutant clonal hematopoiesis. </w:t>
      </w:r>
      <w:r>
        <w:rPr>
          <w:i/>
          <w:sz w:val="24"/>
        </w:rPr>
        <w:t>Leukemia</w:t>
      </w:r>
      <w:r>
        <w:rPr>
          <w:sz w:val="24"/>
        </w:rPr>
        <w:t>.</w:t>
      </w:r>
      <w:r>
        <w:rPr>
          <w:spacing w:val="-3"/>
          <w:sz w:val="24"/>
        </w:rPr>
        <w:t xml:space="preserve"> </w:t>
      </w:r>
      <w:r>
        <w:rPr>
          <w:sz w:val="24"/>
        </w:rPr>
        <w:t>2019;33(7):1635-1649.</w:t>
      </w:r>
    </w:p>
    <w:p w:rsidR="007F7987" w:rsidRDefault="005979D0">
      <w:pPr>
        <w:pStyle w:val="Paragrafoelenco"/>
        <w:numPr>
          <w:ilvl w:val="0"/>
          <w:numId w:val="1"/>
        </w:numPr>
        <w:tabs>
          <w:tab w:val="left" w:pos="887"/>
        </w:tabs>
        <w:spacing w:line="237" w:lineRule="auto"/>
        <w:ind w:right="111" w:hanging="361"/>
        <w:jc w:val="both"/>
        <w:rPr>
          <w:sz w:val="24"/>
        </w:rPr>
      </w:pPr>
      <w:r>
        <w:rPr>
          <w:sz w:val="24"/>
        </w:rPr>
        <w:t xml:space="preserve">Schmitz R, Wright GW, Huang DW, </w:t>
      </w:r>
      <w:r w:rsidR="00741487">
        <w:rPr>
          <w:sz w:val="24"/>
        </w:rPr>
        <w:t xml:space="preserve">Johnson CA, Phelan JD, Wang JQ, </w:t>
      </w:r>
      <w:r>
        <w:rPr>
          <w:sz w:val="24"/>
        </w:rPr>
        <w:t xml:space="preserve">et al. Genetics and pathogenesis of diffuse large B-cell lymphoma. </w:t>
      </w:r>
      <w:r>
        <w:rPr>
          <w:i/>
          <w:sz w:val="24"/>
        </w:rPr>
        <w:t>N Engl J Med</w:t>
      </w:r>
      <w:r>
        <w:rPr>
          <w:sz w:val="24"/>
        </w:rPr>
        <w:t>.</w:t>
      </w:r>
      <w:r>
        <w:rPr>
          <w:spacing w:val="-3"/>
          <w:sz w:val="24"/>
        </w:rPr>
        <w:t xml:space="preserve"> </w:t>
      </w:r>
      <w:r>
        <w:rPr>
          <w:sz w:val="24"/>
        </w:rPr>
        <w:t>2018;378(15):1396-1407.</w:t>
      </w:r>
    </w:p>
    <w:p w:rsidR="007F7987" w:rsidRDefault="005979D0">
      <w:pPr>
        <w:pStyle w:val="Paragrafoelenco"/>
        <w:numPr>
          <w:ilvl w:val="0"/>
          <w:numId w:val="1"/>
        </w:numPr>
        <w:tabs>
          <w:tab w:val="left" w:pos="887"/>
        </w:tabs>
        <w:spacing w:line="237" w:lineRule="auto"/>
        <w:ind w:right="116" w:hanging="361"/>
        <w:jc w:val="both"/>
        <w:rPr>
          <w:sz w:val="24"/>
        </w:rPr>
      </w:pPr>
      <w:r>
        <w:rPr>
          <w:sz w:val="24"/>
        </w:rPr>
        <w:t xml:space="preserve">Reddy A, Zhang J, Davis NS, </w:t>
      </w:r>
      <w:r w:rsidR="00741487">
        <w:rPr>
          <w:sz w:val="24"/>
        </w:rPr>
        <w:t xml:space="preserve">Moffitt AB, Love CL, Waldrop A, </w:t>
      </w:r>
      <w:r>
        <w:rPr>
          <w:sz w:val="24"/>
        </w:rPr>
        <w:t xml:space="preserve">et al. Genetic and functional drivers of diffuse large B-cell lymphoma. </w:t>
      </w:r>
      <w:r>
        <w:rPr>
          <w:i/>
          <w:sz w:val="24"/>
        </w:rPr>
        <w:t>Cell</w:t>
      </w:r>
      <w:r>
        <w:rPr>
          <w:sz w:val="24"/>
        </w:rPr>
        <w:t>.</w:t>
      </w:r>
      <w:r>
        <w:rPr>
          <w:spacing w:val="1"/>
          <w:sz w:val="24"/>
        </w:rPr>
        <w:t xml:space="preserve"> </w:t>
      </w:r>
      <w:r>
        <w:rPr>
          <w:sz w:val="24"/>
        </w:rPr>
        <w:t>2017;171(2):481-494.</w:t>
      </w:r>
    </w:p>
    <w:p w:rsidR="007F7987" w:rsidRDefault="005979D0">
      <w:pPr>
        <w:pStyle w:val="Paragrafoelenco"/>
        <w:numPr>
          <w:ilvl w:val="0"/>
          <w:numId w:val="1"/>
        </w:numPr>
        <w:tabs>
          <w:tab w:val="left" w:pos="887"/>
        </w:tabs>
        <w:ind w:right="113" w:hanging="361"/>
        <w:jc w:val="both"/>
        <w:rPr>
          <w:sz w:val="24"/>
        </w:rPr>
      </w:pPr>
      <w:r w:rsidRPr="00E00F1A">
        <w:rPr>
          <w:sz w:val="24"/>
          <w:lang w:val="it-IT"/>
        </w:rPr>
        <w:t xml:space="preserve">Tiacci E, Ladewig E, Schiavoni G, </w:t>
      </w:r>
      <w:r w:rsidR="00741487">
        <w:rPr>
          <w:sz w:val="24"/>
          <w:lang w:val="it-IT"/>
        </w:rPr>
        <w:t xml:space="preserve">Penson A, Fortini E, Pettirossi V, </w:t>
      </w:r>
      <w:r w:rsidRPr="00E00F1A">
        <w:rPr>
          <w:sz w:val="24"/>
          <w:lang w:val="it-IT"/>
        </w:rPr>
        <w:t xml:space="preserve">et al. </w:t>
      </w:r>
      <w:r>
        <w:rPr>
          <w:sz w:val="24"/>
        </w:rPr>
        <w:t xml:space="preserve">Pervasive mutations of JAK-STAT pathway genes in classical Hodgkin lymphoma. </w:t>
      </w:r>
      <w:r>
        <w:rPr>
          <w:i/>
          <w:sz w:val="24"/>
        </w:rPr>
        <w:t>Blood.</w:t>
      </w:r>
      <w:r>
        <w:rPr>
          <w:i/>
          <w:spacing w:val="-3"/>
          <w:sz w:val="24"/>
        </w:rPr>
        <w:t xml:space="preserve"> </w:t>
      </w:r>
      <w:r>
        <w:rPr>
          <w:sz w:val="24"/>
        </w:rPr>
        <w:t>2018;131(22):2454-2465.</w:t>
      </w:r>
    </w:p>
    <w:p w:rsidR="007F7987" w:rsidRDefault="005979D0">
      <w:pPr>
        <w:pStyle w:val="Paragrafoelenco"/>
        <w:numPr>
          <w:ilvl w:val="0"/>
          <w:numId w:val="1"/>
        </w:numPr>
        <w:tabs>
          <w:tab w:val="left" w:pos="887"/>
        </w:tabs>
        <w:ind w:right="106" w:hanging="361"/>
        <w:jc w:val="both"/>
        <w:rPr>
          <w:sz w:val="24"/>
        </w:rPr>
      </w:pPr>
      <w:r>
        <w:rPr>
          <w:sz w:val="24"/>
        </w:rPr>
        <w:t xml:space="preserve">Dominguez </w:t>
      </w:r>
      <w:r>
        <w:rPr>
          <w:spacing w:val="-2"/>
          <w:sz w:val="24"/>
        </w:rPr>
        <w:t xml:space="preserve">PM, </w:t>
      </w:r>
      <w:r>
        <w:rPr>
          <w:sz w:val="24"/>
        </w:rPr>
        <w:t xml:space="preserve">Ghamlouch H, Rosikiewicz </w:t>
      </w:r>
      <w:r>
        <w:rPr>
          <w:spacing w:val="4"/>
          <w:sz w:val="24"/>
        </w:rPr>
        <w:t xml:space="preserve">W, </w:t>
      </w:r>
      <w:r w:rsidR="00741487">
        <w:rPr>
          <w:spacing w:val="4"/>
          <w:sz w:val="24"/>
        </w:rPr>
        <w:t xml:space="preserve">Kumar P, Béguelin W, Fontán L, </w:t>
      </w:r>
      <w:r>
        <w:rPr>
          <w:sz w:val="24"/>
        </w:rPr>
        <w:t xml:space="preserve">et al. TET2 deficiency causes germinal center hyperplasia, impairs plasma cell differentiation, and promotes B-cell lymphomagenesis. </w:t>
      </w:r>
      <w:r>
        <w:rPr>
          <w:i/>
          <w:sz w:val="24"/>
        </w:rPr>
        <w:t>Cancer Discov</w:t>
      </w:r>
      <w:r>
        <w:rPr>
          <w:sz w:val="24"/>
        </w:rPr>
        <w:t>.</w:t>
      </w:r>
      <w:r>
        <w:rPr>
          <w:spacing w:val="2"/>
          <w:sz w:val="24"/>
        </w:rPr>
        <w:t xml:space="preserve"> </w:t>
      </w:r>
      <w:r>
        <w:rPr>
          <w:sz w:val="24"/>
        </w:rPr>
        <w:t>2018;8(12):1632-1653.</w:t>
      </w:r>
    </w:p>
    <w:p w:rsidR="007F7987" w:rsidRDefault="005979D0">
      <w:pPr>
        <w:pStyle w:val="Paragrafoelenco"/>
        <w:numPr>
          <w:ilvl w:val="0"/>
          <w:numId w:val="1"/>
        </w:numPr>
        <w:tabs>
          <w:tab w:val="left" w:pos="887"/>
        </w:tabs>
        <w:spacing w:line="242" w:lineRule="auto"/>
        <w:ind w:right="113" w:hanging="361"/>
        <w:jc w:val="both"/>
        <w:rPr>
          <w:sz w:val="24"/>
        </w:rPr>
      </w:pPr>
      <w:r w:rsidRPr="00741487">
        <w:rPr>
          <w:sz w:val="24"/>
        </w:rPr>
        <w:t xml:space="preserve">Desai P, Mencia-Trinchant N, Savenkov O, </w:t>
      </w:r>
      <w:r w:rsidR="00741487" w:rsidRPr="00741487">
        <w:rPr>
          <w:sz w:val="24"/>
        </w:rPr>
        <w:t xml:space="preserve">Simon MS, Cheang G, Lee S, </w:t>
      </w:r>
      <w:r w:rsidRPr="00741487">
        <w:rPr>
          <w:sz w:val="24"/>
        </w:rPr>
        <w:t xml:space="preserve">et al. </w:t>
      </w:r>
      <w:r>
        <w:rPr>
          <w:sz w:val="24"/>
        </w:rPr>
        <w:t xml:space="preserve">Somatic mutations precede acute myeloid leukemia years before diagnosis. </w:t>
      </w:r>
      <w:r>
        <w:rPr>
          <w:i/>
          <w:sz w:val="24"/>
        </w:rPr>
        <w:t>Nat Med</w:t>
      </w:r>
      <w:r>
        <w:rPr>
          <w:sz w:val="24"/>
        </w:rPr>
        <w:t>.</w:t>
      </w:r>
      <w:r>
        <w:rPr>
          <w:spacing w:val="-7"/>
          <w:sz w:val="24"/>
        </w:rPr>
        <w:t xml:space="preserve"> </w:t>
      </w:r>
      <w:r>
        <w:rPr>
          <w:sz w:val="24"/>
        </w:rPr>
        <w:t>2018;24(7):1015-1023.</w:t>
      </w:r>
    </w:p>
    <w:p w:rsidR="007F7987" w:rsidRDefault="005979D0">
      <w:pPr>
        <w:pStyle w:val="Paragrafoelenco"/>
        <w:numPr>
          <w:ilvl w:val="0"/>
          <w:numId w:val="1"/>
        </w:numPr>
        <w:tabs>
          <w:tab w:val="left" w:pos="887"/>
        </w:tabs>
        <w:spacing w:line="237" w:lineRule="auto"/>
        <w:ind w:right="113" w:hanging="361"/>
        <w:jc w:val="both"/>
        <w:rPr>
          <w:sz w:val="24"/>
        </w:rPr>
      </w:pPr>
      <w:r w:rsidRPr="00E00F1A">
        <w:rPr>
          <w:sz w:val="24"/>
          <w:lang w:val="it-IT"/>
        </w:rPr>
        <w:t xml:space="preserve">Tiacci E, Venanzi A, Ascani S, </w:t>
      </w:r>
      <w:r w:rsidR="00741487">
        <w:rPr>
          <w:sz w:val="24"/>
          <w:lang w:val="it-IT"/>
        </w:rPr>
        <w:t xml:space="preserve">Marra A, Cardinali V, Martino G, </w:t>
      </w:r>
      <w:r w:rsidRPr="00E00F1A">
        <w:rPr>
          <w:sz w:val="24"/>
          <w:lang w:val="it-IT"/>
        </w:rPr>
        <w:t xml:space="preserve">et al. </w:t>
      </w:r>
      <w:r>
        <w:rPr>
          <w:sz w:val="24"/>
        </w:rPr>
        <w:t xml:space="preserve">High-Risk Clonal Hematopoiesis as the Origin of AITL and NPM1-Mutated AML. </w:t>
      </w:r>
      <w:r>
        <w:rPr>
          <w:i/>
          <w:sz w:val="24"/>
        </w:rPr>
        <w:t xml:space="preserve">N Engl J Med. </w:t>
      </w:r>
      <w:r>
        <w:rPr>
          <w:sz w:val="24"/>
        </w:rPr>
        <w:t>2018;379(10):981-</w:t>
      </w:r>
      <w:r>
        <w:rPr>
          <w:spacing w:val="-8"/>
          <w:sz w:val="24"/>
        </w:rPr>
        <w:t xml:space="preserve"> </w:t>
      </w:r>
      <w:r>
        <w:rPr>
          <w:sz w:val="24"/>
        </w:rPr>
        <w:t>984.</w:t>
      </w:r>
    </w:p>
    <w:p w:rsidR="007F7987" w:rsidRDefault="005979D0">
      <w:pPr>
        <w:pStyle w:val="Paragrafoelenco"/>
        <w:numPr>
          <w:ilvl w:val="0"/>
          <w:numId w:val="1"/>
        </w:numPr>
        <w:tabs>
          <w:tab w:val="left" w:pos="887"/>
        </w:tabs>
        <w:spacing w:line="237" w:lineRule="auto"/>
        <w:ind w:right="122" w:hanging="361"/>
        <w:jc w:val="both"/>
        <w:rPr>
          <w:sz w:val="24"/>
        </w:rPr>
      </w:pPr>
      <w:r>
        <w:rPr>
          <w:sz w:val="24"/>
        </w:rPr>
        <w:lastRenderedPageBreak/>
        <w:t xml:space="preserve">Young AL, Spencer Tong R, Birmann </w:t>
      </w:r>
      <w:r>
        <w:rPr>
          <w:spacing w:val="-2"/>
          <w:sz w:val="24"/>
        </w:rPr>
        <w:t xml:space="preserve">BM, </w:t>
      </w:r>
      <w:r w:rsidR="00741487">
        <w:rPr>
          <w:spacing w:val="-2"/>
          <w:sz w:val="24"/>
        </w:rPr>
        <w:t>Druley TE</w:t>
      </w:r>
      <w:r>
        <w:rPr>
          <w:sz w:val="24"/>
        </w:rPr>
        <w:t>. Clonal hematopoiesis and risk of acute myeloid leukemia</w:t>
      </w:r>
      <w:r>
        <w:rPr>
          <w:i/>
          <w:sz w:val="24"/>
        </w:rPr>
        <w:t>. Haematologica.</w:t>
      </w:r>
      <w:r>
        <w:rPr>
          <w:i/>
          <w:spacing w:val="-2"/>
          <w:sz w:val="24"/>
        </w:rPr>
        <w:t xml:space="preserve"> </w:t>
      </w:r>
      <w:r>
        <w:rPr>
          <w:sz w:val="24"/>
        </w:rPr>
        <w:t>2019;104(12):2410-2417.</w:t>
      </w:r>
    </w:p>
    <w:p w:rsidR="007F7987" w:rsidRDefault="005979D0">
      <w:pPr>
        <w:pStyle w:val="Paragrafoelenco"/>
        <w:numPr>
          <w:ilvl w:val="0"/>
          <w:numId w:val="1"/>
        </w:numPr>
        <w:tabs>
          <w:tab w:val="left" w:pos="887"/>
        </w:tabs>
        <w:spacing w:before="4" w:line="237" w:lineRule="auto"/>
        <w:ind w:right="124" w:hanging="361"/>
        <w:jc w:val="both"/>
        <w:rPr>
          <w:sz w:val="24"/>
        </w:rPr>
      </w:pPr>
      <w:r>
        <w:rPr>
          <w:sz w:val="24"/>
        </w:rPr>
        <w:t xml:space="preserve">Tuval A, Shlush LI. Evolutionary trajectory of leukemic clones and its clinical implications. </w:t>
      </w:r>
      <w:r>
        <w:rPr>
          <w:i/>
          <w:sz w:val="24"/>
        </w:rPr>
        <w:t>Haematologica.</w:t>
      </w:r>
      <w:r>
        <w:rPr>
          <w:i/>
          <w:spacing w:val="3"/>
          <w:sz w:val="24"/>
        </w:rPr>
        <w:t xml:space="preserve"> </w:t>
      </w:r>
      <w:r>
        <w:rPr>
          <w:sz w:val="24"/>
        </w:rPr>
        <w:t>2019;104(5):872-880</w:t>
      </w:r>
    </w:p>
    <w:p w:rsidR="007F7987" w:rsidRPr="004107FE" w:rsidRDefault="005979D0" w:rsidP="004107FE">
      <w:pPr>
        <w:pStyle w:val="Paragrafoelenco"/>
        <w:numPr>
          <w:ilvl w:val="0"/>
          <w:numId w:val="1"/>
        </w:numPr>
        <w:tabs>
          <w:tab w:val="left" w:pos="887"/>
        </w:tabs>
        <w:spacing w:before="68" w:line="237" w:lineRule="auto"/>
        <w:ind w:right="111" w:hanging="361"/>
        <w:jc w:val="both"/>
        <w:rPr>
          <w:sz w:val="24"/>
        </w:rPr>
      </w:pPr>
      <w:r w:rsidRPr="004107FE">
        <w:rPr>
          <w:sz w:val="24"/>
        </w:rPr>
        <w:t xml:space="preserve">Gibson CJ, Lindsley RC, Tchekmedyian V, </w:t>
      </w:r>
      <w:r w:rsidR="00E075E7">
        <w:rPr>
          <w:sz w:val="24"/>
        </w:rPr>
        <w:t xml:space="preserve">Mar BG, Shi J, Jaiswal S, </w:t>
      </w:r>
      <w:r w:rsidRPr="004107FE">
        <w:rPr>
          <w:sz w:val="24"/>
        </w:rPr>
        <w:t xml:space="preserve">et al. Clonal hematopoiesis associated with adverse outcomes after autologous stem-cell transplantation for lymphoma. </w:t>
      </w:r>
      <w:r w:rsidRPr="004107FE">
        <w:rPr>
          <w:i/>
          <w:sz w:val="24"/>
        </w:rPr>
        <w:t>J Clin Oncol</w:t>
      </w:r>
      <w:r w:rsidRPr="004107FE">
        <w:rPr>
          <w:sz w:val="24"/>
        </w:rPr>
        <w:t>. 2017;35(14):1598-1605.</w:t>
      </w:r>
    </w:p>
    <w:p w:rsidR="007F7987" w:rsidRDefault="005979D0">
      <w:pPr>
        <w:pStyle w:val="Paragrafoelenco"/>
        <w:numPr>
          <w:ilvl w:val="0"/>
          <w:numId w:val="1"/>
        </w:numPr>
        <w:tabs>
          <w:tab w:val="left" w:pos="882"/>
        </w:tabs>
        <w:ind w:right="103" w:hanging="361"/>
        <w:jc w:val="both"/>
        <w:rPr>
          <w:sz w:val="24"/>
        </w:rPr>
      </w:pPr>
      <w:r>
        <w:rPr>
          <w:sz w:val="24"/>
        </w:rPr>
        <w:t xml:space="preserve">Wong TN, Ramsingh G, Young AL, </w:t>
      </w:r>
      <w:r w:rsidR="00E075E7">
        <w:rPr>
          <w:sz w:val="24"/>
        </w:rPr>
        <w:t xml:space="preserve">Miller CA, Touma W, Welch JS, </w:t>
      </w:r>
      <w:r>
        <w:rPr>
          <w:sz w:val="24"/>
        </w:rPr>
        <w:t xml:space="preserve">et al. Role of TP53 mutations in the origin and evolution of therapy-related acute myeloid leukemia. </w:t>
      </w:r>
      <w:r>
        <w:rPr>
          <w:i/>
          <w:sz w:val="24"/>
        </w:rPr>
        <w:t>Nature</w:t>
      </w:r>
      <w:r>
        <w:rPr>
          <w:sz w:val="24"/>
        </w:rPr>
        <w:t>. 2014;518(7540):552- 555.</w:t>
      </w:r>
    </w:p>
    <w:p w:rsidR="007F7987" w:rsidRDefault="005979D0">
      <w:pPr>
        <w:pStyle w:val="Paragrafoelenco"/>
        <w:numPr>
          <w:ilvl w:val="0"/>
          <w:numId w:val="1"/>
        </w:numPr>
        <w:tabs>
          <w:tab w:val="left" w:pos="882"/>
        </w:tabs>
        <w:spacing w:before="1"/>
        <w:ind w:right="111" w:hanging="361"/>
        <w:jc w:val="both"/>
        <w:rPr>
          <w:sz w:val="24"/>
        </w:rPr>
      </w:pPr>
      <w:r>
        <w:rPr>
          <w:sz w:val="24"/>
        </w:rPr>
        <w:t xml:space="preserve">Wong TN, Miller CA, Jotte M, </w:t>
      </w:r>
      <w:r w:rsidR="00E075E7">
        <w:rPr>
          <w:sz w:val="24"/>
        </w:rPr>
        <w:t xml:space="preserve">Bagegni N, Baty J, Schmidt A, </w:t>
      </w:r>
      <w:r>
        <w:rPr>
          <w:sz w:val="24"/>
        </w:rPr>
        <w:t>et al. Cellular stressors contribute to the expansion of hematopoietic clones of varying leukemic potential. Nat Commun. 2018;9(1):455.</w:t>
      </w:r>
    </w:p>
    <w:p w:rsidR="007F7987" w:rsidRDefault="005979D0">
      <w:pPr>
        <w:pStyle w:val="Paragrafoelenco"/>
        <w:numPr>
          <w:ilvl w:val="0"/>
          <w:numId w:val="1"/>
        </w:numPr>
        <w:tabs>
          <w:tab w:val="left" w:pos="887"/>
        </w:tabs>
        <w:ind w:right="109" w:hanging="361"/>
        <w:jc w:val="both"/>
        <w:rPr>
          <w:sz w:val="24"/>
        </w:rPr>
      </w:pPr>
      <w:r>
        <w:rPr>
          <w:sz w:val="24"/>
        </w:rPr>
        <w:t>Husby S, Favero F, Nielsen C</w:t>
      </w:r>
      <w:r w:rsidR="00E075E7">
        <w:rPr>
          <w:sz w:val="24"/>
        </w:rPr>
        <w:t xml:space="preserve">, Sørensen BS, Bæch J, Grell K, </w:t>
      </w:r>
      <w:r>
        <w:rPr>
          <w:sz w:val="24"/>
        </w:rPr>
        <w:t xml:space="preserve"> et al. Clinical impact of clonal hematopoiesis in patients with lymphoma undergoing ASCT: a national population-based cohort study. </w:t>
      </w:r>
      <w:r>
        <w:rPr>
          <w:i/>
          <w:sz w:val="24"/>
        </w:rPr>
        <w:t>Leukemia</w:t>
      </w:r>
      <w:r>
        <w:rPr>
          <w:sz w:val="24"/>
        </w:rPr>
        <w:t>.</w:t>
      </w:r>
      <w:r>
        <w:rPr>
          <w:spacing w:val="1"/>
          <w:sz w:val="24"/>
        </w:rPr>
        <w:t xml:space="preserve"> </w:t>
      </w:r>
      <w:r>
        <w:rPr>
          <w:sz w:val="24"/>
        </w:rPr>
        <w:t>2020;34(12):3256-3268.</w:t>
      </w:r>
    </w:p>
    <w:p w:rsidR="007F7987" w:rsidRDefault="005979D0">
      <w:pPr>
        <w:pStyle w:val="Paragrafoelenco"/>
        <w:numPr>
          <w:ilvl w:val="0"/>
          <w:numId w:val="1"/>
        </w:numPr>
        <w:tabs>
          <w:tab w:val="left" w:pos="887"/>
        </w:tabs>
        <w:ind w:right="108" w:hanging="361"/>
        <w:jc w:val="both"/>
        <w:rPr>
          <w:rFonts w:ascii="Times New Roman"/>
          <w:sz w:val="24"/>
        </w:rPr>
      </w:pPr>
      <w:r>
        <w:tab/>
      </w:r>
      <w:r>
        <w:rPr>
          <w:sz w:val="24"/>
        </w:rPr>
        <w:t xml:space="preserve">Ortmann CA, Dorsheimer L, Abou-El-Ardat </w:t>
      </w:r>
      <w:r>
        <w:rPr>
          <w:spacing w:val="-4"/>
          <w:sz w:val="24"/>
        </w:rPr>
        <w:t xml:space="preserve">K, </w:t>
      </w:r>
      <w:r w:rsidR="00E075E7">
        <w:rPr>
          <w:spacing w:val="-4"/>
          <w:sz w:val="24"/>
        </w:rPr>
        <w:t xml:space="preserve">Hoffrichter J, Assmus B, Bonig H, </w:t>
      </w:r>
      <w:r>
        <w:rPr>
          <w:sz w:val="24"/>
        </w:rPr>
        <w:t xml:space="preserve">et al. Functional dominance of CHIP- mutated hematopoietic stem cells in patients undergoing autologous transplantation. </w:t>
      </w:r>
      <w:r>
        <w:rPr>
          <w:i/>
          <w:sz w:val="24"/>
        </w:rPr>
        <w:t>Cell Rep</w:t>
      </w:r>
      <w:r>
        <w:rPr>
          <w:sz w:val="24"/>
        </w:rPr>
        <w:t>.</w:t>
      </w:r>
      <w:r>
        <w:rPr>
          <w:spacing w:val="1"/>
          <w:sz w:val="24"/>
        </w:rPr>
        <w:t xml:space="preserve"> </w:t>
      </w:r>
      <w:r>
        <w:rPr>
          <w:sz w:val="24"/>
        </w:rPr>
        <w:t>2019;27(7):2022-2028.</w:t>
      </w:r>
    </w:p>
    <w:p w:rsidR="007F7987" w:rsidRDefault="005979D0">
      <w:pPr>
        <w:pStyle w:val="Paragrafoelenco"/>
        <w:numPr>
          <w:ilvl w:val="0"/>
          <w:numId w:val="1"/>
        </w:numPr>
        <w:tabs>
          <w:tab w:val="left" w:pos="887"/>
        </w:tabs>
        <w:spacing w:line="242" w:lineRule="auto"/>
        <w:ind w:right="114" w:hanging="361"/>
        <w:jc w:val="both"/>
        <w:rPr>
          <w:sz w:val="24"/>
        </w:rPr>
      </w:pPr>
      <w:r>
        <w:rPr>
          <w:sz w:val="24"/>
        </w:rPr>
        <w:t xml:space="preserve">Abelson S, Collord G, Ng SWK, </w:t>
      </w:r>
      <w:r w:rsidR="00E075E7">
        <w:rPr>
          <w:sz w:val="24"/>
        </w:rPr>
        <w:t xml:space="preserve">Wiessbrod O, Mendelson Cohen N, Niemeyer E, </w:t>
      </w:r>
      <w:r>
        <w:rPr>
          <w:sz w:val="24"/>
        </w:rPr>
        <w:t xml:space="preserve">et al. Prediction of acute myeloid leukemia risk in healthy individuals. </w:t>
      </w:r>
      <w:r>
        <w:rPr>
          <w:i/>
          <w:sz w:val="24"/>
        </w:rPr>
        <w:t>Nature</w:t>
      </w:r>
      <w:r>
        <w:rPr>
          <w:sz w:val="24"/>
        </w:rPr>
        <w:t>.</w:t>
      </w:r>
      <w:r>
        <w:rPr>
          <w:spacing w:val="-2"/>
          <w:sz w:val="24"/>
        </w:rPr>
        <w:t xml:space="preserve"> </w:t>
      </w:r>
      <w:r>
        <w:rPr>
          <w:sz w:val="24"/>
        </w:rPr>
        <w:t>2018;559(7714):400-404.</w:t>
      </w:r>
    </w:p>
    <w:p w:rsidR="007F7987" w:rsidRDefault="007F7987">
      <w:pPr>
        <w:pStyle w:val="Corpodeltesto"/>
        <w:ind w:left="0" w:firstLine="0"/>
        <w:jc w:val="left"/>
        <w:rPr>
          <w:sz w:val="26"/>
        </w:rPr>
      </w:pPr>
    </w:p>
    <w:p w:rsidR="007F7987" w:rsidRDefault="007F7987">
      <w:pPr>
        <w:pStyle w:val="Corpodeltesto"/>
        <w:ind w:left="0" w:firstLine="0"/>
        <w:jc w:val="left"/>
        <w:rPr>
          <w:sz w:val="26"/>
        </w:rPr>
      </w:pPr>
    </w:p>
    <w:p w:rsidR="007F7987" w:rsidRDefault="007F7987">
      <w:pPr>
        <w:pStyle w:val="Corpodeltesto"/>
        <w:ind w:left="0" w:firstLine="0"/>
        <w:jc w:val="left"/>
        <w:rPr>
          <w:sz w:val="26"/>
        </w:rPr>
      </w:pPr>
    </w:p>
    <w:p w:rsidR="007F7987" w:rsidRDefault="007F7987">
      <w:pPr>
        <w:pStyle w:val="Corpodeltesto"/>
        <w:ind w:left="0" w:firstLine="0"/>
        <w:jc w:val="left"/>
        <w:rPr>
          <w:sz w:val="26"/>
        </w:rPr>
      </w:pPr>
    </w:p>
    <w:p w:rsidR="007F7987" w:rsidRDefault="007F7987">
      <w:pPr>
        <w:pStyle w:val="Corpodeltesto"/>
        <w:spacing w:before="8"/>
        <w:ind w:left="0" w:firstLine="0"/>
        <w:jc w:val="left"/>
        <w:rPr>
          <w:sz w:val="23"/>
        </w:rPr>
      </w:pPr>
    </w:p>
    <w:sectPr w:rsidR="007F7987" w:rsidSect="007F7987">
      <w:pgSz w:w="11900" w:h="16840"/>
      <w:pgMar w:top="620" w:right="1020" w:bottom="1220" w:left="1020" w:header="0" w:footer="10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76" w:rsidRDefault="00C06176" w:rsidP="007F7987">
      <w:r>
        <w:separator/>
      </w:r>
    </w:p>
  </w:endnote>
  <w:endnote w:type="continuationSeparator" w:id="1">
    <w:p w:rsidR="00C06176" w:rsidRDefault="00C06176" w:rsidP="007F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87" w:rsidRDefault="00813041">
    <w:pPr>
      <w:pStyle w:val="Corpodeltesto"/>
      <w:spacing w:line="14" w:lineRule="auto"/>
      <w:ind w:left="0" w:firstLine="0"/>
      <w:jc w:val="left"/>
      <w:rPr>
        <w:sz w:val="20"/>
      </w:rPr>
    </w:pPr>
    <w:r w:rsidRPr="00813041">
      <w:pict>
        <v:shapetype id="_x0000_t202" coordsize="21600,21600" o:spt="202" path="m,l,21600r21600,l21600,xe">
          <v:stroke joinstyle="miter"/>
          <v:path gradientshapeok="t" o:connecttype="rect"/>
        </v:shapetype>
        <v:shape id="_x0000_s1025" type="#_x0000_t202" style="position:absolute;margin-left:292.6pt;margin-top:779.1pt;width:10.1pt;height:14pt;z-index:-251658752;mso-position-horizontal-relative:page;mso-position-vertical-relative:page" filled="f" stroked="f">
          <v:textbox inset="0,0,0,0">
            <w:txbxContent>
              <w:p w:rsidR="007F7987" w:rsidRDefault="00813041">
                <w:pPr>
                  <w:pStyle w:val="Corpodeltesto"/>
                  <w:spacing w:line="264" w:lineRule="exact"/>
                  <w:ind w:left="40" w:firstLine="0"/>
                  <w:jc w:val="left"/>
                  <w:rPr>
                    <w:rFonts w:ascii="Calibri"/>
                  </w:rPr>
                </w:pPr>
                <w:r>
                  <w:fldChar w:fldCharType="begin"/>
                </w:r>
                <w:r w:rsidR="005979D0">
                  <w:rPr>
                    <w:rFonts w:ascii="Calibri"/>
                  </w:rPr>
                  <w:instrText xml:space="preserve"> PAGE </w:instrText>
                </w:r>
                <w:r>
                  <w:fldChar w:fldCharType="separate"/>
                </w:r>
                <w:r w:rsidR="00CE7FA6">
                  <w:rPr>
                    <w:rFonts w:ascii="Calibri"/>
                    <w:noProof/>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76" w:rsidRDefault="00C06176" w:rsidP="007F7987">
      <w:r>
        <w:separator/>
      </w:r>
    </w:p>
  </w:footnote>
  <w:footnote w:type="continuationSeparator" w:id="1">
    <w:p w:rsidR="00C06176" w:rsidRDefault="00C06176" w:rsidP="007F7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32DD"/>
    <w:multiLevelType w:val="hybridMultilevel"/>
    <w:tmpl w:val="CB446D0C"/>
    <w:lvl w:ilvl="0" w:tplc="D20CA556">
      <w:start w:val="1"/>
      <w:numFmt w:val="decimal"/>
      <w:lvlText w:val="%1."/>
      <w:lvlJc w:val="left"/>
      <w:pPr>
        <w:ind w:left="833" w:hanging="347"/>
        <w:jc w:val="left"/>
      </w:pPr>
      <w:rPr>
        <w:rFonts w:hint="default"/>
        <w:spacing w:val="-28"/>
        <w:w w:val="99"/>
        <w:sz w:val="24"/>
        <w:szCs w:val="24"/>
        <w:lang w:val="en-US" w:eastAsia="en-US" w:bidi="en-US"/>
      </w:rPr>
    </w:lvl>
    <w:lvl w:ilvl="1" w:tplc="B7BAF348">
      <w:numFmt w:val="bullet"/>
      <w:lvlText w:val="•"/>
      <w:lvlJc w:val="left"/>
      <w:pPr>
        <w:ind w:left="1741" w:hanging="347"/>
      </w:pPr>
      <w:rPr>
        <w:rFonts w:hint="default"/>
        <w:lang w:val="en-US" w:eastAsia="en-US" w:bidi="en-US"/>
      </w:rPr>
    </w:lvl>
    <w:lvl w:ilvl="2" w:tplc="9618C5C0">
      <w:numFmt w:val="bullet"/>
      <w:lvlText w:val="•"/>
      <w:lvlJc w:val="left"/>
      <w:pPr>
        <w:ind w:left="2643" w:hanging="347"/>
      </w:pPr>
      <w:rPr>
        <w:rFonts w:hint="default"/>
        <w:lang w:val="en-US" w:eastAsia="en-US" w:bidi="en-US"/>
      </w:rPr>
    </w:lvl>
    <w:lvl w:ilvl="3" w:tplc="13006330">
      <w:numFmt w:val="bullet"/>
      <w:lvlText w:val="•"/>
      <w:lvlJc w:val="left"/>
      <w:pPr>
        <w:ind w:left="3545" w:hanging="347"/>
      </w:pPr>
      <w:rPr>
        <w:rFonts w:hint="default"/>
        <w:lang w:val="en-US" w:eastAsia="en-US" w:bidi="en-US"/>
      </w:rPr>
    </w:lvl>
    <w:lvl w:ilvl="4" w:tplc="8C3A30F4">
      <w:numFmt w:val="bullet"/>
      <w:lvlText w:val="•"/>
      <w:lvlJc w:val="left"/>
      <w:pPr>
        <w:ind w:left="4447" w:hanging="347"/>
      </w:pPr>
      <w:rPr>
        <w:rFonts w:hint="default"/>
        <w:lang w:val="en-US" w:eastAsia="en-US" w:bidi="en-US"/>
      </w:rPr>
    </w:lvl>
    <w:lvl w:ilvl="5" w:tplc="7B9A3C60">
      <w:numFmt w:val="bullet"/>
      <w:lvlText w:val="•"/>
      <w:lvlJc w:val="left"/>
      <w:pPr>
        <w:ind w:left="5349" w:hanging="347"/>
      </w:pPr>
      <w:rPr>
        <w:rFonts w:hint="default"/>
        <w:lang w:val="en-US" w:eastAsia="en-US" w:bidi="en-US"/>
      </w:rPr>
    </w:lvl>
    <w:lvl w:ilvl="6" w:tplc="7C08ABFA">
      <w:numFmt w:val="bullet"/>
      <w:lvlText w:val="•"/>
      <w:lvlJc w:val="left"/>
      <w:pPr>
        <w:ind w:left="6251" w:hanging="347"/>
      </w:pPr>
      <w:rPr>
        <w:rFonts w:hint="default"/>
        <w:lang w:val="en-US" w:eastAsia="en-US" w:bidi="en-US"/>
      </w:rPr>
    </w:lvl>
    <w:lvl w:ilvl="7" w:tplc="0C4CFA6E">
      <w:numFmt w:val="bullet"/>
      <w:lvlText w:val="•"/>
      <w:lvlJc w:val="left"/>
      <w:pPr>
        <w:ind w:left="7153" w:hanging="347"/>
      </w:pPr>
      <w:rPr>
        <w:rFonts w:hint="default"/>
        <w:lang w:val="en-US" w:eastAsia="en-US" w:bidi="en-US"/>
      </w:rPr>
    </w:lvl>
    <w:lvl w:ilvl="8" w:tplc="18247BE2">
      <w:numFmt w:val="bullet"/>
      <w:lvlText w:val="•"/>
      <w:lvlJc w:val="left"/>
      <w:pPr>
        <w:ind w:left="8055" w:hanging="347"/>
      </w:pPr>
      <w:rPr>
        <w:rFonts w:hint="default"/>
        <w:lang w:val="en-US" w:eastAsia="en-US" w:bidi="en-US"/>
      </w:rPr>
    </w:lvl>
  </w:abstractNum>
  <w:abstractNum w:abstractNumId="1">
    <w:nsid w:val="76F6183F"/>
    <w:multiLevelType w:val="hybridMultilevel"/>
    <w:tmpl w:val="D72C644E"/>
    <w:lvl w:ilvl="0" w:tplc="7316ADFE">
      <w:numFmt w:val="bullet"/>
      <w:lvlText w:val=""/>
      <w:lvlJc w:val="left"/>
      <w:pPr>
        <w:ind w:left="833" w:hanging="347"/>
      </w:pPr>
      <w:rPr>
        <w:rFonts w:ascii="Symbol" w:eastAsia="Symbol" w:hAnsi="Symbol" w:cs="Symbol" w:hint="default"/>
        <w:w w:val="100"/>
        <w:sz w:val="24"/>
        <w:szCs w:val="24"/>
        <w:lang w:val="en-US" w:eastAsia="en-US" w:bidi="en-US"/>
      </w:rPr>
    </w:lvl>
    <w:lvl w:ilvl="1" w:tplc="9E080192">
      <w:numFmt w:val="bullet"/>
      <w:lvlText w:val="•"/>
      <w:lvlJc w:val="left"/>
      <w:pPr>
        <w:ind w:left="1741" w:hanging="347"/>
      </w:pPr>
      <w:rPr>
        <w:rFonts w:hint="default"/>
        <w:lang w:val="en-US" w:eastAsia="en-US" w:bidi="en-US"/>
      </w:rPr>
    </w:lvl>
    <w:lvl w:ilvl="2" w:tplc="B85C3C22">
      <w:numFmt w:val="bullet"/>
      <w:lvlText w:val="•"/>
      <w:lvlJc w:val="left"/>
      <w:pPr>
        <w:ind w:left="2643" w:hanging="347"/>
      </w:pPr>
      <w:rPr>
        <w:rFonts w:hint="default"/>
        <w:lang w:val="en-US" w:eastAsia="en-US" w:bidi="en-US"/>
      </w:rPr>
    </w:lvl>
    <w:lvl w:ilvl="3" w:tplc="63FA04A8">
      <w:numFmt w:val="bullet"/>
      <w:lvlText w:val="•"/>
      <w:lvlJc w:val="left"/>
      <w:pPr>
        <w:ind w:left="3545" w:hanging="347"/>
      </w:pPr>
      <w:rPr>
        <w:rFonts w:hint="default"/>
        <w:lang w:val="en-US" w:eastAsia="en-US" w:bidi="en-US"/>
      </w:rPr>
    </w:lvl>
    <w:lvl w:ilvl="4" w:tplc="0E5A09C0">
      <w:numFmt w:val="bullet"/>
      <w:lvlText w:val="•"/>
      <w:lvlJc w:val="left"/>
      <w:pPr>
        <w:ind w:left="4447" w:hanging="347"/>
      </w:pPr>
      <w:rPr>
        <w:rFonts w:hint="default"/>
        <w:lang w:val="en-US" w:eastAsia="en-US" w:bidi="en-US"/>
      </w:rPr>
    </w:lvl>
    <w:lvl w:ilvl="5" w:tplc="4F90C608">
      <w:numFmt w:val="bullet"/>
      <w:lvlText w:val="•"/>
      <w:lvlJc w:val="left"/>
      <w:pPr>
        <w:ind w:left="5349" w:hanging="347"/>
      </w:pPr>
      <w:rPr>
        <w:rFonts w:hint="default"/>
        <w:lang w:val="en-US" w:eastAsia="en-US" w:bidi="en-US"/>
      </w:rPr>
    </w:lvl>
    <w:lvl w:ilvl="6" w:tplc="BC5224EA">
      <w:numFmt w:val="bullet"/>
      <w:lvlText w:val="•"/>
      <w:lvlJc w:val="left"/>
      <w:pPr>
        <w:ind w:left="6251" w:hanging="347"/>
      </w:pPr>
      <w:rPr>
        <w:rFonts w:hint="default"/>
        <w:lang w:val="en-US" w:eastAsia="en-US" w:bidi="en-US"/>
      </w:rPr>
    </w:lvl>
    <w:lvl w:ilvl="7" w:tplc="839C662A">
      <w:numFmt w:val="bullet"/>
      <w:lvlText w:val="•"/>
      <w:lvlJc w:val="left"/>
      <w:pPr>
        <w:ind w:left="7153" w:hanging="347"/>
      </w:pPr>
      <w:rPr>
        <w:rFonts w:hint="default"/>
        <w:lang w:val="en-US" w:eastAsia="en-US" w:bidi="en-US"/>
      </w:rPr>
    </w:lvl>
    <w:lvl w:ilvl="8" w:tplc="E84EBE7C">
      <w:numFmt w:val="bullet"/>
      <w:lvlText w:val="•"/>
      <w:lvlJc w:val="left"/>
      <w:pPr>
        <w:ind w:left="8055" w:hanging="347"/>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7F7987"/>
    <w:rsid w:val="0028510D"/>
    <w:rsid w:val="004107FE"/>
    <w:rsid w:val="0059611B"/>
    <w:rsid w:val="005979D0"/>
    <w:rsid w:val="00741487"/>
    <w:rsid w:val="007F7987"/>
    <w:rsid w:val="00813041"/>
    <w:rsid w:val="00B12877"/>
    <w:rsid w:val="00BB17CB"/>
    <w:rsid w:val="00C00A6C"/>
    <w:rsid w:val="00C06176"/>
    <w:rsid w:val="00C40C13"/>
    <w:rsid w:val="00C84477"/>
    <w:rsid w:val="00CE7FA6"/>
    <w:rsid w:val="00E00F1A"/>
    <w:rsid w:val="00E075E7"/>
    <w:rsid w:val="00EF28D2"/>
    <w:rsid w:val="00F164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F7987"/>
    <w:rPr>
      <w:rFonts w:ascii="Arial" w:eastAsia="Arial" w:hAnsi="Arial" w:cs="Arial"/>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F7987"/>
    <w:tblPr>
      <w:tblInd w:w="0" w:type="dxa"/>
      <w:tblCellMar>
        <w:top w:w="0" w:type="dxa"/>
        <w:left w:w="0" w:type="dxa"/>
        <w:bottom w:w="0" w:type="dxa"/>
        <w:right w:w="0" w:type="dxa"/>
      </w:tblCellMar>
    </w:tblPr>
  </w:style>
  <w:style w:type="paragraph" w:styleId="Corpodeltesto">
    <w:name w:val="Body Text"/>
    <w:basedOn w:val="Normale"/>
    <w:uiPriority w:val="1"/>
    <w:qFormat/>
    <w:rsid w:val="007F7987"/>
    <w:pPr>
      <w:ind w:left="833" w:hanging="361"/>
      <w:jc w:val="both"/>
    </w:pPr>
    <w:rPr>
      <w:sz w:val="24"/>
      <w:szCs w:val="24"/>
    </w:rPr>
  </w:style>
  <w:style w:type="paragraph" w:customStyle="1" w:styleId="Heading1">
    <w:name w:val="Heading 1"/>
    <w:basedOn w:val="Normale"/>
    <w:uiPriority w:val="1"/>
    <w:qFormat/>
    <w:rsid w:val="007F7987"/>
    <w:pPr>
      <w:ind w:left="113"/>
      <w:outlineLvl w:val="1"/>
    </w:pPr>
    <w:rPr>
      <w:b/>
      <w:bCs/>
      <w:sz w:val="24"/>
      <w:szCs w:val="24"/>
    </w:rPr>
  </w:style>
  <w:style w:type="paragraph" w:styleId="Paragrafoelenco">
    <w:name w:val="List Paragraph"/>
    <w:basedOn w:val="Normale"/>
    <w:uiPriority w:val="1"/>
    <w:qFormat/>
    <w:rsid w:val="007F7987"/>
    <w:pPr>
      <w:ind w:left="833" w:hanging="361"/>
      <w:jc w:val="both"/>
    </w:pPr>
  </w:style>
  <w:style w:type="paragraph" w:customStyle="1" w:styleId="TableParagraph">
    <w:name w:val="Table Paragraph"/>
    <w:basedOn w:val="Normale"/>
    <w:uiPriority w:val="1"/>
    <w:qFormat/>
    <w:rsid w:val="007F798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1895</Words>
  <Characters>10805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Ale-Admin</cp:lastModifiedBy>
  <cp:revision>9</cp:revision>
  <dcterms:created xsi:type="dcterms:W3CDTF">2021-02-08T08:58:00Z</dcterms:created>
  <dcterms:modified xsi:type="dcterms:W3CDTF">2021-02-10T11:51:00Z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 2016</vt:lpwstr>
  </property>
  <property fmtid="{D5CDD505-2E9C-101B-9397-08002B2CF9AE}" pid="4" name="LastSaved">
    <vt:filetime>2021-02-08T00:00:00Z</vt:filetime>
  </property>
</Properties>
</file>